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9"/>
        </w:rPr>
      </w:pPr>
      <w:r>
        <w:rPr>
          <w:rFonts w:ascii="Times New Roman"/>
          <w:sz w:val="20"/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141605</wp:posOffset>
            </wp:positionV>
            <wp:extent cx="5688330" cy="744220"/>
            <wp:effectExtent l="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ind w:left="261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203"/>
        <w:jc w:val="center"/>
        <w:rPr>
          <w:rFonts w:ascii="仿宋" w:eastAsia="仿宋"/>
        </w:rPr>
      </w:pPr>
      <w:r>
        <w:rPr>
          <w:rFonts w:hint="eastAsia" w:ascii="仿宋" w:eastAsia="仿宋"/>
        </w:rPr>
        <w:t>川西人发〔</w:t>
      </w:r>
      <w:r>
        <w:rPr>
          <w:rFonts w:ascii="Times New Roman" w:hAnsi="Times New Roman" w:eastAsia="Calibri" w:cs="Times New Roman"/>
        </w:rPr>
        <w:t>2020</w:t>
      </w:r>
      <w:r>
        <w:rPr>
          <w:rFonts w:hint="eastAsia"/>
        </w:rPr>
        <w:t>〕</w:t>
      </w:r>
      <w:r>
        <w:rPr>
          <w:rFonts w:hint="eastAsia" w:ascii="Times New Roman" w:hAnsi="Times New Roman" w:cs="Times New Roman"/>
          <w:lang w:val="en-US" w:eastAsia="zh-CN"/>
        </w:rPr>
        <w:t>25</w:t>
      </w:r>
      <w:bookmarkStart w:id="0" w:name="_GoBack"/>
      <w:bookmarkEnd w:id="0"/>
      <w:r>
        <w:rPr>
          <w:rFonts w:hint="eastAsia" w:ascii="仿宋" w:eastAsia="仿宋"/>
        </w:rPr>
        <w:t>号</w:t>
      </w:r>
    </w:p>
    <w:p>
      <w:pPr>
        <w:pStyle w:val="4"/>
        <w:spacing w:before="2"/>
        <w:rPr>
          <w:rFonts w:ascii="仿宋"/>
          <w:sz w:val="11"/>
        </w:rPr>
      </w:pPr>
      <w:r>
        <w:rPr>
          <w:lang w:val="en-US"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128905</wp:posOffset>
                </wp:positionV>
                <wp:extent cx="5653405" cy="0"/>
                <wp:effectExtent l="0" t="0" r="0" b="0"/>
                <wp:wrapTopAndBottom/>
                <wp:docPr id="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3405" cy="0"/>
                        </a:xfrm>
                        <a:prstGeom prst="line">
                          <a:avLst/>
                        </a:prstGeom>
                        <a:noFill/>
                        <a:ln w="27432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74.75pt;margin-top:10.15pt;height:0pt;width:445.15pt;mso-position-horizontal-relative:page;mso-wrap-distance-bottom:0pt;mso-wrap-distance-top:0pt;z-index:-251660288;mso-width-relative:page;mso-height-relative:page;" filled="f" stroked="t" coordsize="21600,21600" o:gfxdata="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nB&#10;Mv3XAAAACgEAAA8AAAAAAAAAAQAgAAAAIgAAAGRycy9kb3ducmV2LnhtbFBLAQIUABQAAAAIAIdO&#10;4kAESnS4sgEAAFIDAAAOAAAAAAAAAAEAIAAAACYBAABkcnMvZTJvRG9jLnhtbFBLBQYAAAAABgAG&#10;AFkBAABKBQAAAAA=&#10;">
                <v:fill on="f" focussize="0,0"/>
                <v:stroke weight="2.16pt" color="#FF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jc w:val="both"/>
        <w:rPr>
          <w:rFonts w:ascii="方正小标宋简体" w:hAnsi="方正小标宋简体" w:eastAsia="方正小标宋简体" w:cs="方正小标宋简体"/>
          <w:b/>
          <w:bCs/>
          <w:sz w:val="44"/>
          <w:szCs w:val="44"/>
          <w:lang w:val="en-US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/>
        </w:rPr>
        <w:t>四川西部人力资源开发中心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/>
        </w:rPr>
        <w:t>关于遴选第三方评价培训合作机构的通知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  <w:lang w:val="en-US"/>
        </w:rPr>
      </w:pPr>
    </w:p>
    <w:p>
      <w:pPr>
        <w:spacing w:line="560" w:lineRule="exact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hint="eastAsia" w:ascii="仿宋" w:hAnsi="仿宋" w:eastAsia="仿宋"/>
          <w:sz w:val="32"/>
          <w:szCs w:val="32"/>
          <w:lang w:val="en-US"/>
        </w:rPr>
        <w:t>各院校、行业协会（学会）、合作单位及中心各部门、各校区、各直属机构：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color w:val="FF0000"/>
          <w:sz w:val="32"/>
          <w:szCs w:val="32"/>
          <w:lang w:val="en-US"/>
        </w:rPr>
      </w:pPr>
      <w:r>
        <w:rPr>
          <w:rFonts w:hint="eastAsia" w:ascii="仿宋" w:hAnsi="仿宋" w:eastAsia="仿宋" w:cs="方正仿宋_GB2312"/>
          <w:sz w:val="32"/>
          <w:szCs w:val="32"/>
          <w:lang w:val="en-US"/>
        </w:rPr>
        <w:t>根据中共中央办公厅、国务院办公厅《关于分类推进人才评价机制改革的指导意见的通知》（中办发〔</w:t>
      </w:r>
      <w:r>
        <w:rPr>
          <w:rFonts w:ascii="仿宋" w:hAnsi="仿宋" w:eastAsia="仿宋" w:cs="Times New Roman"/>
          <w:sz w:val="32"/>
          <w:szCs w:val="32"/>
          <w:lang w:val="en-US"/>
        </w:rPr>
        <w:t>2018</w:t>
      </w:r>
      <w:r>
        <w:rPr>
          <w:rFonts w:hint="eastAsia" w:ascii="仿宋" w:hAnsi="仿宋" w:eastAsia="仿宋" w:cs="方正仿宋_GB2312"/>
          <w:sz w:val="32"/>
          <w:szCs w:val="32"/>
          <w:lang w:val="en-US"/>
        </w:rPr>
        <w:t>〕</w:t>
      </w:r>
      <w:r>
        <w:rPr>
          <w:rFonts w:hint="eastAsia" w:ascii="仿宋" w:hAnsi="仿宋" w:eastAsia="仿宋" w:cs="Times New Roman"/>
          <w:sz w:val="32"/>
          <w:szCs w:val="32"/>
          <w:lang w:val="en-US"/>
        </w:rPr>
        <w:t>6</w:t>
      </w:r>
      <w:r>
        <w:rPr>
          <w:rFonts w:hint="eastAsia" w:ascii="仿宋" w:hAnsi="仿宋" w:eastAsia="仿宋" w:cs="方正仿宋_GB2312"/>
          <w:sz w:val="32"/>
          <w:szCs w:val="32"/>
          <w:lang w:val="en-US"/>
        </w:rPr>
        <w:t>号）、人力资源和社会保障部《关于开展职业技能等级认定试点工作的通知》（人社厅发〔</w:t>
      </w:r>
      <w:r>
        <w:rPr>
          <w:rFonts w:hint="eastAsia" w:ascii="仿宋" w:hAnsi="仿宋" w:eastAsia="仿宋" w:cs="Times New Roman"/>
          <w:sz w:val="32"/>
          <w:szCs w:val="32"/>
          <w:lang w:val="en-US"/>
        </w:rPr>
        <w:t>2018</w:t>
      </w:r>
      <w:r>
        <w:rPr>
          <w:rFonts w:hint="eastAsia" w:ascii="仿宋" w:hAnsi="仿宋" w:eastAsia="仿宋" w:cs="方正仿宋_GB2312"/>
          <w:sz w:val="32"/>
          <w:szCs w:val="32"/>
          <w:lang w:val="en-US"/>
        </w:rPr>
        <w:t>〕</w:t>
      </w:r>
      <w:r>
        <w:rPr>
          <w:rFonts w:hint="eastAsia" w:ascii="仿宋" w:hAnsi="仿宋" w:eastAsia="仿宋" w:cs="Times New Roman"/>
          <w:sz w:val="32"/>
          <w:szCs w:val="32"/>
          <w:lang w:val="en-US"/>
        </w:rPr>
        <w:t>14</w:t>
      </w:r>
      <w:r>
        <w:rPr>
          <w:rFonts w:ascii="仿宋" w:hAnsi="仿宋" w:eastAsia="仿宋" w:cs="Times New Roman"/>
          <w:sz w:val="32"/>
          <w:szCs w:val="32"/>
          <w:lang w:val="en-US"/>
        </w:rPr>
        <w:t>8</w:t>
      </w:r>
      <w:r>
        <w:rPr>
          <w:rFonts w:hint="eastAsia" w:ascii="仿宋" w:hAnsi="仿宋" w:eastAsia="仿宋" w:cs="方正仿宋_GB2312"/>
          <w:sz w:val="32"/>
          <w:szCs w:val="32"/>
          <w:lang w:val="en-US"/>
        </w:rPr>
        <w:t>号）、《职业技能等级认定工作规程（试行）》（人社职</w:t>
      </w:r>
      <w:r>
        <w:rPr>
          <w:rFonts w:hint="eastAsia" w:ascii="仿宋" w:hAnsi="仿宋" w:eastAsia="仿宋"/>
          <w:sz w:val="32"/>
          <w:szCs w:val="32"/>
          <w:lang w:val="en-US"/>
        </w:rPr>
        <w:t>司便函</w:t>
      </w:r>
      <w:r>
        <w:rPr>
          <w:rFonts w:hint="eastAsia" w:ascii="仿宋" w:hAnsi="仿宋" w:eastAsia="仿宋" w:cs="___WRD_EMBED_SUB_48"/>
          <w:sz w:val="32"/>
          <w:szCs w:val="32"/>
          <w:lang w:val="en-US"/>
        </w:rPr>
        <w:t>〔</w:t>
      </w:r>
      <w:r>
        <w:rPr>
          <w:rFonts w:ascii="仿宋" w:hAnsi="仿宋" w:eastAsia="仿宋" w:cs="方正仿宋_GB2312"/>
          <w:sz w:val="32"/>
          <w:szCs w:val="32"/>
          <w:lang w:val="en-US"/>
        </w:rPr>
        <w:t>2020〕17号）</w:t>
      </w:r>
      <w:r>
        <w:rPr>
          <w:rFonts w:hint="eastAsia" w:ascii="仿宋" w:hAnsi="仿宋" w:eastAsia="仿宋" w:cs="方正仿宋_GB2312"/>
          <w:sz w:val="32"/>
          <w:szCs w:val="32"/>
          <w:lang w:val="en-US"/>
        </w:rPr>
        <w:t>和四川省人力资源社会保障厅《关于开展第三方评价机构职业技能等级认定试点工作的通知》（川人社办发〔</w:t>
      </w:r>
      <w:r>
        <w:rPr>
          <w:rFonts w:hint="eastAsia" w:ascii="仿宋" w:hAnsi="仿宋" w:eastAsia="仿宋" w:cs="Times New Roman"/>
          <w:sz w:val="32"/>
          <w:szCs w:val="32"/>
          <w:lang w:val="en-US"/>
        </w:rPr>
        <w:t>2020</w:t>
      </w:r>
      <w:r>
        <w:rPr>
          <w:rFonts w:hint="eastAsia" w:ascii="仿宋" w:hAnsi="仿宋" w:eastAsia="仿宋" w:cs="方正仿宋_GB2312"/>
          <w:sz w:val="32"/>
          <w:szCs w:val="32"/>
          <w:lang w:val="en-US"/>
        </w:rPr>
        <w:t>〕</w:t>
      </w:r>
      <w:r>
        <w:rPr>
          <w:rFonts w:hint="eastAsia" w:ascii="仿宋" w:hAnsi="仿宋" w:eastAsia="仿宋" w:cs="Times New Roman"/>
          <w:sz w:val="32"/>
          <w:szCs w:val="32"/>
          <w:lang w:val="en-US"/>
        </w:rPr>
        <w:t>44</w:t>
      </w:r>
      <w:r>
        <w:rPr>
          <w:rFonts w:hint="eastAsia" w:ascii="仿宋" w:hAnsi="仿宋" w:eastAsia="仿宋" w:cs="方正仿宋_GB2312"/>
          <w:sz w:val="32"/>
          <w:szCs w:val="32"/>
          <w:lang w:val="en-US"/>
        </w:rPr>
        <w:t>号）等文件精神及规定，经省职业技能鉴定指导中心组织遴选，省人力资源和社会保障厅批准（川人社函（2020）367号），</w:t>
      </w:r>
      <w:r>
        <w:rPr>
          <w:rFonts w:hint="eastAsia" w:ascii="仿宋" w:hAnsi="仿宋" w:eastAsia="仿宋" w:cs="方正仿宋_GB2312"/>
          <w:b/>
          <w:bCs/>
          <w:sz w:val="32"/>
          <w:szCs w:val="32"/>
          <w:lang w:val="en-US"/>
        </w:rPr>
        <w:t>我中心已成为四川省首批第三方评价机构，获准开展职业技能等级认定试点工作</w:t>
      </w:r>
      <w:r>
        <w:rPr>
          <w:rFonts w:hint="eastAsia" w:ascii="仿宋" w:hAnsi="仿宋" w:eastAsia="仿宋" w:cs="方正仿宋_GB2312"/>
          <w:sz w:val="32"/>
          <w:szCs w:val="32"/>
          <w:lang w:val="en-US"/>
        </w:rPr>
        <w:t>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hint="eastAsia" w:ascii="仿宋" w:hAnsi="仿宋" w:eastAsia="仿宋" w:cs="方正仿宋_GB2312"/>
          <w:sz w:val="32"/>
          <w:szCs w:val="32"/>
          <w:lang w:val="en-US"/>
        </w:rPr>
        <w:t>为推进试点工作顺利开展，认真落实各项相关工作的具体实施，中心现决定遴选第三方评价培训合作机构，合作开展职业技能等级认定评价培训工作，具体合作要求参照《第三方评价培训合作机构遴选管理办法》执行，相关费用标准参照《合作机构认定申报收费标准》执行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hint="eastAsia" w:ascii="仿宋" w:hAnsi="仿宋" w:eastAsia="仿宋" w:cs="方正仿宋_GB2312"/>
          <w:sz w:val="32"/>
          <w:szCs w:val="32"/>
          <w:lang w:val="en-US"/>
        </w:rPr>
        <w:t>特此通知。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hint="eastAsia" w:ascii="仿宋" w:hAnsi="仿宋" w:eastAsia="仿宋" w:cs="方正仿宋_GB2312"/>
          <w:sz w:val="32"/>
          <w:szCs w:val="32"/>
          <w:lang w:val="en-US"/>
        </w:rPr>
        <w:t>附件1：《第三方评价培训合作机构遴选管理办法》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hint="eastAsia" w:ascii="仿宋" w:hAnsi="仿宋" w:eastAsia="仿宋" w:cs="方正仿宋_GB2312"/>
          <w:sz w:val="32"/>
          <w:szCs w:val="32"/>
          <w:lang w:val="en-US"/>
        </w:rPr>
        <w:t>附件2：《合作机构认定申报收费标准》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ascii="仿宋" w:hAnsi="仿宋" w:eastAsia="仿宋" w:cs="方正仿宋_GB2312"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123190</wp:posOffset>
            </wp:positionV>
            <wp:extent cx="1510665" cy="1518920"/>
            <wp:effectExtent l="0" t="0" r="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</w:p>
    <w:p>
      <w:pPr>
        <w:spacing w:line="560" w:lineRule="exact"/>
        <w:ind w:right="240" w:firstLine="640" w:firstLineChars="200"/>
        <w:jc w:val="right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四川西部人力资源开发中心</w:t>
      </w:r>
    </w:p>
    <w:p>
      <w:pPr>
        <w:wordWrap w:val="0"/>
        <w:spacing w:line="560" w:lineRule="exact"/>
        <w:ind w:right="240" w:firstLine="640" w:firstLineChars="200"/>
        <w:jc w:val="right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ascii="Times New Roman" w:hAnsi="Times New Roman" w:eastAsia="方正仿宋_GB2312" w:cs="Times New Roman"/>
          <w:sz w:val="32"/>
          <w:szCs w:val="32"/>
          <w:lang w:val="en-US"/>
        </w:rPr>
        <w:t>2020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年</w:t>
      </w:r>
      <w:r>
        <w:rPr>
          <w:rFonts w:ascii="Times New Roman" w:hAnsi="Times New Roman" w:eastAsia="方正仿宋_GB2312" w:cs="Times New Roman"/>
          <w:sz w:val="32"/>
          <w:szCs w:val="32"/>
          <w:lang w:val="en-US"/>
        </w:rPr>
        <w:t>10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月</w:t>
      </w:r>
      <w:r>
        <w:rPr>
          <w:rFonts w:ascii="Times New Roman" w:hAnsi="Times New Roman" w:eastAsia="方正仿宋_GB2312" w:cs="Times New Roman"/>
          <w:sz w:val="32"/>
          <w:szCs w:val="32"/>
          <w:lang w:val="en-US"/>
        </w:rPr>
        <w:t>25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 xml:space="preserve">日 </w:t>
      </w:r>
      <w:r>
        <w:rPr>
          <w:rFonts w:ascii="方正仿宋_GB2312" w:hAnsi="方正仿宋_GB2312" w:eastAsia="方正仿宋_GB2312" w:cs="方正仿宋_GB2312"/>
          <w:sz w:val="32"/>
          <w:szCs w:val="32"/>
          <w:lang w:val="en-US"/>
        </w:rPr>
        <w:t xml:space="preserve">    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</w:p>
    <w:p>
      <w:pPr>
        <w:widowControl/>
        <w:autoSpaceDE/>
        <w:autoSpaceDN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ascii="仿宋" w:hAnsi="仿宋" w:eastAsia="仿宋" w:cs="方正仿宋_GB2312"/>
          <w:sz w:val="32"/>
          <w:szCs w:val="32"/>
          <w:lang w:val="en-US"/>
        </w:rPr>
        <w:br w:type="page"/>
      </w:r>
    </w:p>
    <w:p>
      <w:pPr>
        <w:widowControl/>
        <w:autoSpaceDE/>
        <w:autoSpaceDN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hint="eastAsia" w:ascii="仿宋" w:hAnsi="仿宋" w:eastAsia="仿宋" w:cs="方正仿宋_GB2312"/>
          <w:sz w:val="32"/>
          <w:szCs w:val="32"/>
          <w:lang w:val="en-US"/>
        </w:rPr>
        <w:t>附件1：</w:t>
      </w:r>
    </w:p>
    <w:p>
      <w:pPr>
        <w:jc w:val="center"/>
        <w:rPr>
          <w:rFonts w:ascii="方正小标宋简体" w:eastAsia="方正小标宋简体"/>
          <w:sz w:val="44"/>
          <w:lang w:val="en-US"/>
        </w:rPr>
      </w:pPr>
      <w:r>
        <w:rPr>
          <w:rFonts w:hint="eastAsia" w:ascii="方正小标宋简体" w:eastAsia="方正小标宋简体"/>
          <w:sz w:val="44"/>
          <w:lang w:val="en-US"/>
        </w:rPr>
        <w:t>第三方评价培训合作机构遴选管理办法</w:t>
      </w:r>
    </w:p>
    <w:p/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申报条件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申报</w:t>
      </w:r>
      <w:r>
        <w:rPr>
          <w:rFonts w:hint="eastAsia" w:ascii="仿宋" w:hAnsi="仿宋" w:eastAsia="仿宋"/>
          <w:sz w:val="32"/>
          <w:lang w:val="en-US"/>
        </w:rPr>
        <w:t>第三方评价培训合作</w:t>
      </w:r>
      <w:r>
        <w:rPr>
          <w:rFonts w:hint="eastAsia" w:ascii="仿宋" w:hAnsi="仿宋" w:eastAsia="仿宋"/>
          <w:sz w:val="32"/>
        </w:rPr>
        <w:t>的机构，应当具有法人资格，依法登记（或注册）设立，无违规失信记录，同时应具备以下条件：</w:t>
      </w:r>
    </w:p>
    <w:p>
      <w:pPr>
        <w:pStyle w:val="23"/>
        <w:numPr>
          <w:ilvl w:val="0"/>
          <w:numId w:val="2"/>
        </w:numPr>
        <w:ind w:firstLine="64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组织机构及管理体系健全，具有完善的财务制度、评价培训管理制度规范、社会信用良好，无违法违规、失信等不良行为记录；</w:t>
      </w:r>
    </w:p>
    <w:p>
      <w:pPr>
        <w:pStyle w:val="23"/>
        <w:numPr>
          <w:ilvl w:val="0"/>
          <w:numId w:val="3"/>
        </w:numPr>
        <w:ind w:firstLine="64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在拟合作的职业领域具有丰富的工作经验和影响力，所申报职业（工种）历年培训或鉴定总人数不低于</w:t>
      </w:r>
      <w:r>
        <w:rPr>
          <w:rFonts w:hint="eastAsia" w:ascii="仿宋" w:hAnsi="仿宋" w:eastAsia="仿宋"/>
          <w:sz w:val="32"/>
          <w:lang w:val="en-US"/>
        </w:rPr>
        <w:t>1</w:t>
      </w:r>
      <w:r>
        <w:rPr>
          <w:rFonts w:hint="eastAsia" w:ascii="仿宋" w:hAnsi="仿宋" w:eastAsia="仿宋"/>
          <w:sz w:val="32"/>
        </w:rPr>
        <w:t>000人；</w:t>
      </w:r>
    </w:p>
    <w:p>
      <w:pPr>
        <w:pStyle w:val="23"/>
        <w:numPr>
          <w:ilvl w:val="0"/>
          <w:numId w:val="4"/>
        </w:numPr>
        <w:ind w:firstLine="64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有进行评价培训相应的场地及设施设备。有不低于6</w:t>
      </w:r>
      <w:r>
        <w:rPr>
          <w:rFonts w:ascii="仿宋" w:hAnsi="仿宋" w:eastAsia="仿宋"/>
          <w:sz w:val="32"/>
        </w:rPr>
        <w:t>0</w:t>
      </w:r>
      <w:r>
        <w:rPr>
          <w:rFonts w:hint="eastAsia" w:ascii="仿宋" w:hAnsi="仿宋" w:eastAsia="仿宋"/>
          <w:sz w:val="32"/>
        </w:rPr>
        <w:t>个机位的独立机房，有与申报职业（工种）配套的实训室或考室，场地内实操设备仪器、视频监控等硬件设施配套完善；</w:t>
      </w:r>
    </w:p>
    <w:p>
      <w:pPr>
        <w:pStyle w:val="23"/>
        <w:numPr>
          <w:ilvl w:val="0"/>
          <w:numId w:val="5"/>
        </w:numPr>
        <w:ind w:firstLine="64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有与评价职业（工种）相适应的专职工作人员和每职业（工种）不少于2人的考评员队伍，并自愿接受本中心的工作培训、指导与监督；</w:t>
      </w:r>
    </w:p>
    <w:p>
      <w:pPr>
        <w:pStyle w:val="23"/>
        <w:numPr>
          <w:ilvl w:val="0"/>
          <w:numId w:val="6"/>
        </w:numPr>
        <w:ind w:firstLine="64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承诺依法依规开展工作，申报材料真实有效，并自愿接受行政主管部门及本中心的监督管理和业务指导。</w:t>
      </w:r>
    </w:p>
    <w:p>
      <w:pPr>
        <w:ind w:firstLine="440" w:firstLineChars="200"/>
      </w:pPr>
    </w:p>
    <w:p>
      <w:pPr>
        <w:numPr>
          <w:ilvl w:val="0"/>
          <w:numId w:val="7"/>
        </w:numPr>
        <w:rPr>
          <w:rFonts w:ascii="黑体" w:hAnsi="黑体" w:eastAsia="黑体"/>
          <w:b/>
          <w:bCs/>
          <w:sz w:val="32"/>
        </w:rPr>
      </w:pPr>
      <w:r>
        <w:rPr>
          <w:rFonts w:hint="eastAsia" w:ascii="黑体" w:hAnsi="黑体" w:eastAsia="黑体"/>
          <w:b/>
          <w:bCs/>
          <w:sz w:val="32"/>
        </w:rPr>
        <w:t>申报材料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申请机构应依照下列要求，一次性报送相关材料，纸质材料一式两份，邮寄到联系地址，电子版材料以文件压缩包形式发送至邮箱。</w:t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559"/>
        <w:gridCol w:w="59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序号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类别</w:t>
            </w:r>
          </w:p>
        </w:tc>
        <w:tc>
          <w:tcPr>
            <w:tcW w:w="5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材料及要求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1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管理制度体系</w:t>
            </w:r>
          </w:p>
        </w:tc>
        <w:tc>
          <w:tcPr>
            <w:tcW w:w="5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1. 机构主体及法人相关资质证明；</w:t>
            </w:r>
          </w:p>
          <w:p>
            <w:pPr>
              <w:jc w:val="both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2. 申报职业（工种）培训或鉴定资质；</w:t>
            </w:r>
          </w:p>
          <w:p>
            <w:pPr>
              <w:jc w:val="both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3. 17年以后财务审计报告或财务报表（含三表）；</w:t>
            </w:r>
          </w:p>
          <w:p>
            <w:pPr>
              <w:jc w:val="both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4. 评价培训相关的管理制度。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2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工作经验</w:t>
            </w:r>
          </w:p>
        </w:tc>
        <w:tc>
          <w:tcPr>
            <w:tcW w:w="5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提供相关培训或鉴定数据证明材料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3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场地和设施设备</w:t>
            </w:r>
          </w:p>
        </w:tc>
        <w:tc>
          <w:tcPr>
            <w:tcW w:w="5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1. 培训场地：提供符合条件场地的所有权证明材料或租赁协议证明材料、场地照片；</w:t>
            </w:r>
          </w:p>
          <w:p>
            <w:pPr>
              <w:jc w:val="both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2. 设施设备：提供符合条件的实训室内各设施设备</w:t>
            </w:r>
            <w:r>
              <w:rPr>
                <w:rFonts w:hint="eastAsia" w:ascii="仿宋" w:hAnsi="仿宋" w:eastAsia="仿宋"/>
                <w:sz w:val="32"/>
                <w:lang w:val="en-US"/>
              </w:rPr>
              <w:t>清单及</w:t>
            </w:r>
            <w:r>
              <w:rPr>
                <w:rFonts w:hint="eastAsia" w:ascii="仿宋" w:hAnsi="仿宋" w:eastAsia="仿宋"/>
                <w:sz w:val="32"/>
              </w:rPr>
              <w:t>现场照片。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4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专业人员</w:t>
            </w:r>
          </w:p>
        </w:tc>
        <w:tc>
          <w:tcPr>
            <w:tcW w:w="5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1</w:t>
            </w:r>
            <w:r>
              <w:rPr>
                <w:rFonts w:ascii="仿宋" w:hAnsi="仿宋" w:eastAsia="仿宋"/>
                <w:sz w:val="32"/>
              </w:rPr>
              <w:t>.</w:t>
            </w:r>
            <w:r>
              <w:rPr>
                <w:rFonts w:hint="eastAsia" w:ascii="仿宋" w:hAnsi="仿宋" w:eastAsia="仿宋"/>
                <w:sz w:val="32"/>
              </w:rPr>
              <w:t xml:space="preserve"> 提供专职人员及考评员清单，清单应包含学历及技术技能资格情况。</w:t>
            </w:r>
          </w:p>
          <w:p>
            <w:pPr>
              <w:jc w:val="both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2</w:t>
            </w:r>
            <w:r>
              <w:rPr>
                <w:rFonts w:ascii="仿宋" w:hAnsi="仿宋" w:eastAsia="仿宋"/>
                <w:sz w:val="32"/>
              </w:rPr>
              <w:t xml:space="preserve">. </w:t>
            </w:r>
            <w:r>
              <w:rPr>
                <w:rFonts w:hint="eastAsia" w:ascii="仿宋" w:hAnsi="仿宋" w:eastAsia="仿宋"/>
                <w:sz w:val="32"/>
              </w:rPr>
              <w:t>提供相应的证明材料，应包含聘用协议、身份证明、学历证明及资格证明。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ascii="仿宋" w:hAnsi="仿宋" w:eastAsia="仿宋"/>
                <w:sz w:val="32"/>
              </w:rPr>
              <w:t>5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诚信承诺</w:t>
            </w:r>
          </w:p>
        </w:tc>
        <w:tc>
          <w:tcPr>
            <w:tcW w:w="5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ascii="仿宋" w:hAnsi="仿宋" w:eastAsia="仿宋"/>
                <w:sz w:val="32"/>
              </w:rPr>
            </w:pPr>
            <w:r>
              <w:rPr>
                <w:rFonts w:hint="eastAsia" w:ascii="仿宋" w:hAnsi="仿宋" w:eastAsia="仿宋"/>
                <w:sz w:val="32"/>
              </w:rPr>
              <w:t>依据申报条件第（五）条要求提供承诺函。</w:t>
            </w:r>
          </w:p>
        </w:tc>
      </w:tr>
    </w:tbl>
    <w:p>
      <w:pPr>
        <w:rPr>
          <w:b/>
          <w:bCs/>
        </w:rPr>
      </w:pPr>
    </w:p>
    <w:p>
      <w:pPr>
        <w:numPr>
          <w:ilvl w:val="0"/>
          <w:numId w:val="8"/>
        </w:numPr>
        <w:ind w:firstLine="643" w:firstLineChars="200"/>
        <w:rPr>
          <w:rFonts w:ascii="黑体" w:hAnsi="黑体" w:eastAsia="黑体"/>
          <w:b/>
          <w:bCs/>
          <w:sz w:val="32"/>
        </w:rPr>
      </w:pPr>
      <w:r>
        <w:rPr>
          <w:rFonts w:hint="eastAsia" w:ascii="黑体" w:hAnsi="黑体" w:eastAsia="黑体"/>
          <w:b/>
          <w:bCs/>
          <w:sz w:val="32"/>
        </w:rPr>
        <w:t>遴选程序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（一）提交申请。拟申报的合作机构向四川西部人力资源开发中心提交申报材料，由法人代表签字确认提交材料的真实性。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二）机构评审。四川西部人力资源开发中心收到申报资料后，对其进行整理汇总和初步审核。审核通过后，组织专家通过信用调查、听取报告、文件审核、技术抽查、访谈咨询、质询答辩和现场考察等方式，对通过初步审核的申请单位进行全面技术评估，提出评估意见，并明确是否同意申请的建议，除院校、行业协会外，其他类型机构，原则上每个地区遴选一家作为合作机构。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（四）备案赋码。四川西部人力资源开发中心与通过评审的机构签订合作协议并授牌，依据《职业技能等级认定工作实施方案》相关要求对机构赋码，录入考务系统，并报省职鉴中心备案。</w:t>
      </w:r>
    </w:p>
    <w:p>
      <w:pPr>
        <w:ind w:firstLine="640" w:firstLineChars="200"/>
        <w:rPr>
          <w:rFonts w:ascii="仿宋" w:hAnsi="仿宋" w:eastAsia="仿宋"/>
          <w:sz w:val="32"/>
        </w:rPr>
      </w:pPr>
    </w:p>
    <w:p>
      <w:pPr>
        <w:numPr>
          <w:ilvl w:val="0"/>
          <w:numId w:val="9"/>
        </w:numPr>
        <w:ind w:firstLine="643" w:firstLineChars="200"/>
        <w:rPr>
          <w:rFonts w:ascii="黑体" w:hAnsi="黑体" w:eastAsia="黑体"/>
          <w:b/>
          <w:bCs/>
          <w:sz w:val="32"/>
        </w:rPr>
      </w:pPr>
      <w:r>
        <w:rPr>
          <w:rFonts w:hint="eastAsia" w:ascii="黑体" w:hAnsi="黑体" w:eastAsia="黑体"/>
          <w:b/>
          <w:bCs/>
          <w:sz w:val="32"/>
        </w:rPr>
        <w:t>联系方式</w:t>
      </w:r>
    </w:p>
    <w:p>
      <w:pPr>
        <w:ind w:firstLine="442" w:firstLineChars="200"/>
        <w:rPr>
          <w:b/>
          <w:bCs/>
        </w:rPr>
      </w:pP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考评管理中心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任老师：028-87775609</w:t>
      </w:r>
      <w:r>
        <w:rPr>
          <w:rFonts w:hint="eastAsia" w:ascii="仿宋" w:hAnsi="仿宋" w:eastAsia="仿宋"/>
          <w:sz w:val="32"/>
        </w:rPr>
        <w:tab/>
      </w:r>
      <w:r>
        <w:rPr>
          <w:rFonts w:ascii="仿宋" w:hAnsi="仿宋" w:eastAsia="仿宋"/>
          <w:sz w:val="32"/>
        </w:rPr>
        <w:t>19102666170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魏老师：17394967843</w:t>
      </w:r>
    </w:p>
    <w:p>
      <w:pPr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邮箱：</w:t>
      </w:r>
      <w:r>
        <w:rPr>
          <w:rFonts w:ascii="仿宋" w:hAnsi="仿宋" w:eastAsia="仿宋"/>
          <w:sz w:val="32"/>
        </w:rPr>
        <w:t>307944275@qq.com</w:t>
      </w:r>
    </w:p>
    <w:p>
      <w:pPr>
        <w:ind w:firstLine="640" w:firstLineChars="200"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hint="eastAsia" w:ascii="仿宋" w:hAnsi="仿宋" w:eastAsia="仿宋"/>
          <w:sz w:val="32"/>
        </w:rPr>
        <w:t>邮寄地址：四川省成都市金牛区营门口路18号</w:t>
      </w:r>
      <w:r>
        <w:rPr>
          <w:rFonts w:ascii="仿宋" w:hAnsi="仿宋" w:eastAsia="仿宋" w:cs="方正仿宋_GB2312"/>
          <w:sz w:val="32"/>
          <w:szCs w:val="32"/>
          <w:lang w:val="en-US"/>
        </w:rPr>
        <w:br w:type="page"/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hint="eastAsia" w:ascii="仿宋" w:hAnsi="仿宋" w:eastAsia="仿宋" w:cs="方正仿宋_GB2312"/>
          <w:sz w:val="32"/>
          <w:szCs w:val="32"/>
          <w:lang w:val="en-US"/>
        </w:rPr>
        <w:t>附件2：</w:t>
      </w:r>
    </w:p>
    <w:p>
      <w:pPr>
        <w:spacing w:line="560" w:lineRule="exact"/>
        <w:jc w:val="center"/>
        <w:rPr>
          <w:rFonts w:ascii="方正小标宋简体" w:hAnsi="仿宋" w:eastAsia="方正小标宋简体" w:cs="方正仿宋_GB2312"/>
          <w:sz w:val="44"/>
          <w:szCs w:val="32"/>
          <w:lang w:val="en-US"/>
        </w:rPr>
      </w:pPr>
      <w:r>
        <w:rPr>
          <w:rFonts w:hint="eastAsia" w:ascii="方正小标宋简体" w:hAnsi="仿宋" w:eastAsia="方正小标宋简体" w:cs="方正仿宋_GB2312"/>
          <w:sz w:val="44"/>
          <w:szCs w:val="32"/>
          <w:lang w:val="en-US"/>
        </w:rPr>
        <w:t>合作机构认定申报收费标准</w:t>
      </w:r>
    </w:p>
    <w:p>
      <w:pPr>
        <w:spacing w:line="560" w:lineRule="exact"/>
        <w:ind w:firstLine="640" w:firstLineChars="200"/>
        <w:jc w:val="both"/>
        <w:rPr>
          <w:rFonts w:ascii="仿宋" w:hAnsi="仿宋" w:eastAsia="仿宋" w:cs="方正仿宋_GB2312"/>
          <w:sz w:val="32"/>
          <w:szCs w:val="32"/>
          <w:lang w:val="en-US"/>
        </w:rPr>
      </w:pPr>
      <w:r>
        <w:rPr>
          <w:rFonts w:hint="eastAsia" w:ascii="仿宋" w:hAnsi="仿宋" w:eastAsia="仿宋" w:cs="方正仿宋_GB2312"/>
          <w:sz w:val="32"/>
          <w:szCs w:val="32"/>
          <w:lang w:val="en-US"/>
        </w:rPr>
        <w:t>根据相关规定，中心将按照不同职业（工种）技能等级认定所需原材料、能源消耗、工具设备使用等成本差别和技术含量实行分类收费</w:t>
      </w:r>
      <w:r>
        <w:rPr>
          <w:rFonts w:hint="eastAsia" w:ascii="仿宋" w:hAnsi="仿宋" w:eastAsia="仿宋" w:cs="方正仿宋_GB2312"/>
          <w:sz w:val="32"/>
          <w:szCs w:val="32"/>
        </w:rPr>
        <w:t>。对合作机构实行按基础成本收取认定费用的规定，</w:t>
      </w:r>
      <w:r>
        <w:rPr>
          <w:rFonts w:hint="eastAsia" w:ascii="仿宋" w:hAnsi="仿宋" w:eastAsia="仿宋" w:cs="方正仿宋_GB2312"/>
          <w:sz w:val="32"/>
          <w:szCs w:val="32"/>
          <w:lang w:val="en-US"/>
        </w:rPr>
        <w:t>详细收费标准如下：</w:t>
      </w:r>
    </w:p>
    <w:p>
      <w:pPr>
        <w:spacing w:line="560" w:lineRule="exact"/>
        <w:jc w:val="center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/>
        </w:rPr>
        <w:t>职业技能等级认定收费标准（单位：元/人.次）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1257"/>
        <w:gridCol w:w="1420"/>
        <w:gridCol w:w="1509"/>
        <w:gridCol w:w="1500"/>
        <w:gridCol w:w="1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583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职业</w:t>
            </w:r>
          </w:p>
          <w:p>
            <w:pPr>
              <w:snapToGrid w:val="0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（工种）</w:t>
            </w: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级别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理论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技能操作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综合评审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83" w:type="dxa"/>
            <w:vMerge w:val="restart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健康管理师</w:t>
            </w: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三级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00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60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/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583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方正仿宋_GB2312"/>
                <w:sz w:val="32"/>
                <w:szCs w:val="32"/>
              </w:rPr>
            </w:pP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二级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00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80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300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7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583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方正仿宋_GB2312"/>
                <w:sz w:val="32"/>
                <w:szCs w:val="32"/>
              </w:rPr>
            </w:pP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一级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00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80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400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8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83" w:type="dxa"/>
            <w:vMerge w:val="restart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育婴员</w:t>
            </w: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五级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8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20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/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583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方正仿宋_GB2312"/>
                <w:sz w:val="32"/>
                <w:szCs w:val="32"/>
              </w:rPr>
            </w:pP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四级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00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60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/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583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方正仿宋_GB2312"/>
                <w:sz w:val="32"/>
                <w:szCs w:val="32"/>
              </w:rPr>
            </w:pP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三级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00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20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/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3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1583" w:type="dxa"/>
            <w:vMerge w:val="restart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</w:p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养老护理员</w:t>
            </w: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五级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8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00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/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83" w:type="dxa"/>
            <w:vMerge w:val="continue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/>
                <w:sz w:val="32"/>
                <w:szCs w:val="28"/>
              </w:rPr>
            </w:pP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四级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00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20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/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583" w:type="dxa"/>
            <w:vMerge w:val="continue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/>
                <w:sz w:val="32"/>
                <w:szCs w:val="28"/>
              </w:rPr>
            </w:pP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三级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00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1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60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/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sz w:val="32"/>
                <w:szCs w:val="28"/>
                <w:lang w:val="en-US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583" w:type="dxa"/>
            <w:vMerge w:val="continue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/>
                <w:sz w:val="32"/>
                <w:szCs w:val="28"/>
              </w:rPr>
            </w:pP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二级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00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80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3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00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7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583" w:type="dxa"/>
            <w:vMerge w:val="continue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/>
                <w:sz w:val="32"/>
                <w:szCs w:val="28"/>
              </w:rPr>
            </w:pPr>
          </w:p>
        </w:tc>
        <w:tc>
          <w:tcPr>
            <w:tcW w:w="1257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一级</w:t>
            </w:r>
          </w:p>
        </w:tc>
        <w:tc>
          <w:tcPr>
            <w:tcW w:w="142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00</w:t>
            </w:r>
          </w:p>
        </w:tc>
        <w:tc>
          <w:tcPr>
            <w:tcW w:w="1509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2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80</w:t>
            </w:r>
          </w:p>
        </w:tc>
        <w:tc>
          <w:tcPr>
            <w:tcW w:w="1500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400</w:t>
            </w:r>
          </w:p>
        </w:tc>
        <w:tc>
          <w:tcPr>
            <w:tcW w:w="1253" w:type="dxa"/>
            <w:vAlign w:val="center"/>
          </w:tcPr>
          <w:p>
            <w:pPr>
              <w:snapToGrid w:val="0"/>
              <w:spacing w:line="560" w:lineRule="exact"/>
              <w:jc w:val="center"/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</w:pPr>
            <w:r>
              <w:rPr>
                <w:rFonts w:hint="eastAsia"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8</w:t>
            </w:r>
            <w:r>
              <w:rPr>
                <w:rFonts w:ascii="仿宋" w:hAnsi="仿宋" w:eastAsia="仿宋" w:cs="Times New Roman"/>
                <w:color w:val="F2F2F2" w:themeColor="background1" w:themeShade="F2"/>
                <w:sz w:val="32"/>
                <w:szCs w:val="28"/>
                <w:lang w:val="en-US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</w:trPr>
        <w:tc>
          <w:tcPr>
            <w:tcW w:w="8522" w:type="dxa"/>
            <w:gridSpan w:val="6"/>
            <w:vAlign w:val="center"/>
          </w:tcPr>
          <w:p>
            <w:pPr>
              <w:snapToGrid w:val="0"/>
              <w:jc w:val="left"/>
              <w:rPr>
                <w:rFonts w:ascii="仿宋" w:hAnsi="仿宋" w:eastAsia="仿宋" w:cs="方正仿宋_GB2312"/>
                <w:sz w:val="32"/>
                <w:szCs w:val="32"/>
                <w:lang w:val="en-US"/>
              </w:rPr>
            </w:pPr>
            <w:r>
              <w:rPr>
                <w:rFonts w:hint="eastAsia" w:ascii="仿宋" w:hAnsi="仿宋" w:eastAsia="仿宋" w:cs="方正仿宋_GB2312"/>
                <w:sz w:val="32"/>
                <w:szCs w:val="32"/>
                <w:lang w:val="en-US"/>
              </w:rPr>
              <w:t>合作说明：</w:t>
            </w:r>
          </w:p>
          <w:p>
            <w:pPr>
              <w:snapToGrid w:val="0"/>
              <w:jc w:val="left"/>
              <w:rPr>
                <w:rFonts w:ascii="仿宋" w:hAnsi="仿宋" w:eastAsia="仿宋" w:cs="方正仿宋_GB2312"/>
                <w:sz w:val="32"/>
                <w:szCs w:val="32"/>
              </w:rPr>
            </w:pPr>
            <w:r>
              <w:rPr>
                <w:rFonts w:ascii="仿宋" w:hAnsi="仿宋" w:eastAsia="仿宋" w:cs="Times New Roman"/>
                <w:sz w:val="32"/>
                <w:szCs w:val="32"/>
              </w:rPr>
              <w:t>1.</w:t>
            </w:r>
            <w:r>
              <w:rPr>
                <w:rFonts w:hint="eastAsia" w:ascii="仿宋" w:hAnsi="仿宋" w:eastAsia="仿宋" w:cs="方正仿宋_GB2312"/>
                <w:sz w:val="32"/>
                <w:szCs w:val="32"/>
              </w:rPr>
              <w:t>考生有一次免费补考机会，补考不合格则需重新报考，按新考生报考流程办理和缴费。</w:t>
            </w:r>
          </w:p>
          <w:p>
            <w:pPr>
              <w:snapToGrid w:val="0"/>
              <w:jc w:val="left"/>
              <w:rPr>
                <w:rFonts w:ascii="仿宋" w:hAnsi="仿宋" w:eastAsia="仿宋" w:cs="方正仿宋_GB2312"/>
                <w:sz w:val="32"/>
                <w:szCs w:val="32"/>
              </w:rPr>
            </w:pPr>
            <w:r>
              <w:rPr>
                <w:rFonts w:ascii="仿宋" w:hAnsi="仿宋" w:eastAsia="仿宋" w:cs="方正仿宋_GB2312"/>
                <w:sz w:val="32"/>
                <w:szCs w:val="32"/>
              </w:rPr>
              <w:t>2.每位考生所缴费用</w:t>
            </w:r>
            <w:r>
              <w:rPr>
                <w:rFonts w:hint="eastAsia" w:ascii="仿宋" w:hAnsi="仿宋" w:eastAsia="仿宋" w:cs="方正仿宋_GB2312"/>
                <w:sz w:val="32"/>
                <w:szCs w:val="32"/>
              </w:rPr>
              <w:t>包</w:t>
            </w:r>
            <w:r>
              <w:rPr>
                <w:rFonts w:ascii="仿宋" w:hAnsi="仿宋" w:eastAsia="仿宋" w:cs="方正仿宋_GB2312"/>
                <w:sz w:val="32"/>
                <w:szCs w:val="32"/>
              </w:rPr>
              <w:t>含</w:t>
            </w:r>
            <w:r>
              <w:rPr>
                <w:rFonts w:hint="eastAsia" w:ascii="仿宋" w:hAnsi="仿宋" w:eastAsia="仿宋" w:cs="方正仿宋_GB2312"/>
                <w:sz w:val="32"/>
                <w:szCs w:val="32"/>
              </w:rPr>
              <w:t>基本</w:t>
            </w:r>
            <w:r>
              <w:rPr>
                <w:rFonts w:hint="eastAsia" w:ascii="仿宋" w:hAnsi="仿宋" w:eastAsia="仿宋" w:cs="___WRD_EMBED_SUB_48"/>
                <w:sz w:val="32"/>
                <w:szCs w:val="32"/>
              </w:rPr>
              <w:t>职业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道德</w:t>
            </w:r>
            <w:r>
              <w:rPr>
                <w:rFonts w:hint="eastAsia" w:ascii="仿宋" w:hAnsi="仿宋" w:eastAsia="仿宋" w:cs="方正仿宋_GB2312"/>
                <w:sz w:val="32"/>
                <w:szCs w:val="32"/>
              </w:rPr>
              <w:t>及本职业（工种）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在线课程包</w:t>
            </w:r>
            <w:r>
              <w:rPr>
                <w:rFonts w:hint="eastAsia" w:ascii="仿宋" w:hAnsi="仿宋" w:eastAsia="仿宋" w:cs="___WRD_EMBED_SUB_48"/>
                <w:sz w:val="32"/>
                <w:szCs w:val="32"/>
              </w:rPr>
              <w:t>一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份</w:t>
            </w:r>
            <w:r>
              <w:rPr>
                <w:rFonts w:hint="eastAsia" w:ascii="仿宋" w:hAnsi="仿宋" w:eastAsia="仿宋" w:cs="方正仿宋_GB2312"/>
                <w:sz w:val="32"/>
                <w:szCs w:val="32"/>
              </w:rPr>
              <w:t>（含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在线</w:t>
            </w:r>
            <w:r>
              <w:rPr>
                <w:rFonts w:hint="eastAsia" w:ascii="仿宋" w:hAnsi="仿宋" w:eastAsia="仿宋" w:cs="___WRD_EMBED_SUB_48"/>
                <w:sz w:val="32"/>
                <w:szCs w:val="32"/>
              </w:rPr>
              <w:t>课程</w:t>
            </w:r>
            <w:r>
              <w:rPr>
                <w:rFonts w:hint="eastAsia" w:ascii="仿宋" w:hAnsi="仿宋" w:eastAsia="仿宋" w:cs="方正仿宋_GB2312"/>
                <w:sz w:val="32"/>
                <w:szCs w:val="32"/>
              </w:rPr>
              <w:t>、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复习资料</w:t>
            </w:r>
            <w:r>
              <w:rPr>
                <w:rFonts w:hint="eastAsia" w:ascii="仿宋" w:hAnsi="仿宋" w:eastAsia="仿宋" w:cs="___WRD_EMBED_SUB_48"/>
                <w:sz w:val="32"/>
                <w:szCs w:val="32"/>
              </w:rPr>
              <w:t>、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练习/模考题库</w:t>
            </w:r>
            <w:r>
              <w:rPr>
                <w:rFonts w:hint="eastAsia" w:ascii="仿宋" w:hAnsi="仿宋" w:eastAsia="仿宋" w:cs="方正仿宋_GB2312"/>
                <w:sz w:val="32"/>
                <w:szCs w:val="32"/>
              </w:rPr>
              <w:t>）。</w:t>
            </w:r>
          </w:p>
        </w:tc>
      </w:tr>
    </w:tbl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spacing w:line="560" w:lineRule="exact"/>
        <w:ind w:right="-54"/>
        <w:jc w:val="both"/>
        <w:rPr>
          <w:rFonts w:ascii="方正仿宋_GB2312" w:hAnsi="方正仿宋_GB2312" w:eastAsia="方正仿宋_GB2312" w:cs="方正仿宋_GB2312"/>
          <w:sz w:val="32"/>
          <w:szCs w:val="32"/>
          <w:lang w:val="en-US"/>
        </w:rPr>
      </w:pPr>
    </w:p>
    <w:p>
      <w:pPr>
        <w:pStyle w:val="4"/>
        <w:tabs>
          <w:tab w:val="left" w:pos="8222"/>
        </w:tabs>
        <w:spacing w:before="55" w:after="130"/>
        <w:ind w:firstLine="320" w:firstLineChars="100"/>
        <w:rPr>
          <w:rFonts w:ascii="仿宋" w:eastAsia="仿宋"/>
        </w:rPr>
      </w:pPr>
      <w:r>
        <w:rPr>
          <w:rFonts w:hint="eastAsia" w:ascii="方正仿宋_GB2312" w:hAnsi="方正仿宋_GB2312" w:eastAsia="方正仿宋_GB2312" w:cs="方正仿宋_GB2312"/>
          <w:lang w:val="en-US"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1146810</wp:posOffset>
                </wp:positionH>
                <wp:positionV relativeFrom="paragraph">
                  <wp:posOffset>25400</wp:posOffset>
                </wp:positionV>
                <wp:extent cx="5263515" cy="0"/>
                <wp:effectExtent l="0" t="0" r="0" b="0"/>
                <wp:wrapTopAndBottom/>
                <wp:docPr id="5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351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90.3pt;margin-top:2pt;height:0pt;width:414.45pt;mso-position-horizontal-relative:page;mso-wrap-distance-bottom:0pt;mso-wrap-distance-top:0pt;z-index:-251659264;mso-width-relative:page;mso-height-relative:page;" filled="f" stroked="t" coordsize="21600,21600" o:gfxdata="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WzVNsNQAAAAI&#10;AQAADwAAAAAAAAABACAAAAAiAAAAZHJzL2Rvd25yZXYueG1sUEsBAhQAFAAAAAgAh07iQB7I6Xyu&#10;AQAAUQMAAA4AAAAAAAAAAQAgAAAAIwEAAGRycy9lMm9Eb2MueG1sUEsFBgAAAAAGAAYAWQEAAEMF&#10;AAAAAA==&#10;">
                <v:fill on="f" focussize="0,0"/>
                <v:stroke weight="0.6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</w:rPr>
        <w:t>四川西部</w:t>
      </w:r>
      <w:r>
        <w:rPr>
          <w:rFonts w:hint="eastAsia" w:ascii="方正仿宋_GB2312" w:hAnsi="方正仿宋_GB2312" w:eastAsia="方正仿宋_GB2312" w:cs="方正仿宋_GB2312"/>
          <w:spacing w:val="-5"/>
        </w:rPr>
        <w:t>人</w:t>
      </w:r>
      <w:r>
        <w:rPr>
          <w:rFonts w:hint="eastAsia" w:ascii="方正仿宋_GB2312" w:hAnsi="方正仿宋_GB2312" w:eastAsia="方正仿宋_GB2312" w:cs="方正仿宋_GB2312"/>
        </w:rPr>
        <w:t>力资</w:t>
      </w:r>
      <w:r>
        <w:rPr>
          <w:rFonts w:hint="eastAsia" w:ascii="方正仿宋_GB2312" w:hAnsi="方正仿宋_GB2312" w:eastAsia="方正仿宋_GB2312" w:cs="方正仿宋_GB2312"/>
          <w:spacing w:val="-7"/>
        </w:rPr>
        <w:t>源</w:t>
      </w:r>
      <w:r>
        <w:rPr>
          <w:rFonts w:hint="eastAsia" w:ascii="方正仿宋_GB2312" w:hAnsi="方正仿宋_GB2312" w:eastAsia="方正仿宋_GB2312" w:cs="方正仿宋_GB2312"/>
        </w:rPr>
        <w:t>开发中心</w:t>
      </w:r>
      <w:r>
        <w:rPr>
          <w:rFonts w:hint="eastAsia" w:ascii="仿宋" w:eastAsia="仿宋"/>
        </w:rPr>
        <w:t xml:space="preserve"> </w:t>
      </w:r>
      <w:r>
        <w:rPr>
          <w:rFonts w:hint="eastAsia" w:ascii="仿宋" w:eastAsia="仿宋"/>
          <w:lang w:val="en-US"/>
        </w:rPr>
        <w:t xml:space="preserve"> </w:t>
      </w:r>
      <w:r>
        <w:rPr>
          <w:rFonts w:hint="eastAsia" w:ascii="仿宋" w:eastAsia="仿宋"/>
        </w:rPr>
        <w:t xml:space="preserve"> </w:t>
      </w:r>
      <w:r>
        <w:rPr>
          <w:rFonts w:hint="eastAsia" w:ascii="仿宋" w:eastAsia="仿宋"/>
          <w:lang w:val="en-US"/>
        </w:rPr>
        <w:t xml:space="preserve">  </w:t>
      </w:r>
      <w:r>
        <w:rPr>
          <w:rFonts w:ascii="Times New Roman" w:hAnsi="Times New Roman" w:eastAsia="仿宋" w:cs="Times New Roman"/>
        </w:rPr>
        <w:t>2020</w:t>
      </w:r>
      <w:r>
        <w:rPr>
          <w:rFonts w:hint="eastAsia" w:ascii="仿宋" w:eastAsia="仿宋"/>
          <w:spacing w:val="-86"/>
        </w:rPr>
        <w:t xml:space="preserve"> </w:t>
      </w:r>
      <w:r>
        <w:rPr>
          <w:rFonts w:hint="eastAsia" w:ascii="仿宋" w:eastAsia="仿宋"/>
          <w:spacing w:val="21"/>
        </w:rPr>
        <w:t>年</w:t>
      </w:r>
      <w:r>
        <w:rPr>
          <w:rFonts w:ascii="Times New Roman" w:hAnsi="Times New Roman" w:eastAsia="仿宋_GB2312" w:cs="Times New Roman"/>
          <w:lang w:val="en-US"/>
        </w:rPr>
        <w:t>10</w:t>
      </w:r>
      <w:r>
        <w:rPr>
          <w:rFonts w:hint="eastAsia" w:ascii="仿宋" w:eastAsia="仿宋"/>
        </w:rPr>
        <w:t>月</w:t>
      </w:r>
      <w:r>
        <w:rPr>
          <w:rFonts w:ascii="Times New Roman" w:hAnsi="Times New Roman" w:eastAsia="仿宋" w:cs="Times New Roman"/>
          <w:lang w:val="en-US"/>
        </w:rPr>
        <w:t>25</w:t>
      </w:r>
      <w:r>
        <w:rPr>
          <w:rFonts w:hint="eastAsia" w:ascii="仿宋" w:eastAsia="仿宋"/>
        </w:rPr>
        <w:t>日印发</w:t>
      </w:r>
    </w:p>
    <w:p>
      <w:pPr>
        <w:pStyle w:val="4"/>
        <w:spacing w:line="20" w:lineRule="exact"/>
        <w:rPr>
          <w:rFonts w:ascii="仿宋"/>
          <w:sz w:val="2"/>
        </w:rPr>
      </w:pPr>
      <w:r>
        <w:rPr>
          <w:rFonts w:ascii="仿宋"/>
          <w:sz w:val="2"/>
          <w:lang w:val="en-US" w:bidi="ar-SA"/>
        </w:rPr>
        <mc:AlternateContent>
          <mc:Choice Requires="wpg">
            <w:drawing>
              <wp:inline distT="0" distB="0" distL="0" distR="0">
                <wp:extent cx="5263515" cy="45085"/>
                <wp:effectExtent l="9525" t="0" r="13335" b="0"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515" cy="45085"/>
                          <a:chOff x="0" y="0"/>
                          <a:chExt cx="9530" cy="12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53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o:spt="203" style="height:3.55pt;width:414.45pt;" coordsize="9530,12" o:gfxdata="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FbFA3VAAAAAwEAAA8AAAAAAAAAAQAgAAAA&#10;IgAAAGRycy9kb3ducmV2LnhtbFBLAQIUABQAAAAIAIdO4kALlhIJDgIAAHQEAAAOAAAAAAAAAAEA&#10;IAAAACQBAABkcnMvZTJvRG9jLnhtbFBLBQYAAAAABgAGAFkBAACkBQAAAAA=&#10;">
                <o:lock v:ext="edit" aspectratio="f"/>
                <v:line id="Line 3" o:spid="_x0000_s1026" o:spt="20" style="position:absolute;left:0;top:6;height:0;width:9530;" filled="f" stroked="t" coordsize="21600,21600" o:gfxdata="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vPB6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6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sectPr>
      <w:headerReference r:id="rId3" w:type="default"/>
      <w:footerReference r:id="rId4" w:type="default"/>
      <w:pgSz w:w="11910" w:h="16840"/>
      <w:pgMar w:top="1418" w:right="1701" w:bottom="1418" w:left="181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6C5F9AF-1B74-4685-A290-1AAE73CA70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50E1CBB-0D95-4F16-8566-F3669F53981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271718BB-2911-425D-8EAD-7A0926370A1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248C1269-671D-43D9-B9FF-5E73C463F8E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8213F56F-927B-4A10-B676-C503E8318424}"/>
  </w:font>
  <w:font w:name="___WRD_EMBED_SUB_48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6" w:fontKey="{BA8EC79A-DC66-4F73-917A-A3846B8E7CD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7" w:fontKey="{F373C1A6-4B2A-40F3-AFB1-3D33F028E8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Align="top"/>
    </w:pPr>
    <w:r>
      <w:fldChar w:fldCharType="begin"/>
    </w:r>
    <w:r>
      <w:instrText xml:space="preserve"> PAGE  </w:instrText>
    </w:r>
    <w:r>
      <w:fldChar w:fldCharType="separate"/>
    </w:r>
    <w:r>
      <w:t>1</w:t>
    </w:r>
    <w:r>
      <w:fldChar w:fldCharType="end"/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rPr>
        <w:sz w:val="24"/>
        <w:szCs w:val="24"/>
      </w:rPr>
    </w:pPr>
    <w:r>
      <w:rPr>
        <w:rFonts w:hint="eastAsia"/>
        <w:sz w:val="24"/>
        <w:szCs w:val="24"/>
      </w:rPr>
      <w:t xml:space="preserve">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E3F14"/>
    <w:multiLevelType w:val="singleLevel"/>
    <w:tmpl w:val="098E3F14"/>
    <w:lvl w:ilvl="0" w:tentative="0">
      <w:start w:val="4"/>
      <w:numFmt w:val="chineseCountingThousand"/>
      <w:suff w:val="nothing"/>
      <w:lvlText w:val="(%1)"/>
      <w:lvlJc w:val="left"/>
      <w:pPr>
        <w:ind w:left="0" w:firstLine="0"/>
      </w:pPr>
    </w:lvl>
  </w:abstractNum>
  <w:abstractNum w:abstractNumId="1">
    <w:nsid w:val="223D25DA"/>
    <w:multiLevelType w:val="singleLevel"/>
    <w:tmpl w:val="223D25DA"/>
    <w:lvl w:ilvl="0" w:tentative="0">
      <w:start w:val="3"/>
      <w:numFmt w:val="chineseCountingThousand"/>
      <w:suff w:val="nothing"/>
      <w:lvlText w:val="(%1)"/>
      <w:lvlJc w:val="left"/>
      <w:pPr>
        <w:ind w:left="0" w:firstLine="0"/>
      </w:pPr>
    </w:lvl>
  </w:abstractNum>
  <w:abstractNum w:abstractNumId="2">
    <w:nsid w:val="27C44861"/>
    <w:multiLevelType w:val="singleLevel"/>
    <w:tmpl w:val="27C44861"/>
    <w:lvl w:ilvl="0" w:tentative="0">
      <w:start w:val="2"/>
      <w:numFmt w:val="chineseCountingThousand"/>
      <w:suff w:val="nothing"/>
      <w:lvlText w:val="(%1)"/>
      <w:lvlJc w:val="left"/>
      <w:pPr>
        <w:ind w:left="0" w:firstLine="0"/>
      </w:pPr>
    </w:lvl>
  </w:abstractNum>
  <w:abstractNum w:abstractNumId="3">
    <w:nsid w:val="281A2A61"/>
    <w:multiLevelType w:val="singleLevel"/>
    <w:tmpl w:val="281A2A61"/>
    <w:lvl w:ilvl="0" w:tentative="0">
      <w:start w:val="4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4">
    <w:nsid w:val="2BE94E08"/>
    <w:multiLevelType w:val="singleLevel"/>
    <w:tmpl w:val="2BE94E08"/>
    <w:lvl w:ilvl="0" w:tentative="0">
      <w:start w:val="2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5">
    <w:nsid w:val="54447F36"/>
    <w:multiLevelType w:val="singleLevel"/>
    <w:tmpl w:val="54447F36"/>
    <w:lvl w:ilvl="0" w:tentative="0">
      <w:start w:val="3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6">
    <w:nsid w:val="70180642"/>
    <w:multiLevelType w:val="singleLevel"/>
    <w:tmpl w:val="70180642"/>
    <w:lvl w:ilvl="0" w:tentative="0">
      <w:start w:val="1"/>
      <w:numFmt w:val="chineseCountingThousand"/>
      <w:suff w:val="nothing"/>
      <w:lvlText w:val="(%1)"/>
      <w:lvlJc w:val="left"/>
      <w:pPr>
        <w:ind w:left="0" w:firstLine="0"/>
      </w:pPr>
    </w:lvl>
  </w:abstractNum>
  <w:abstractNum w:abstractNumId="7">
    <w:nsid w:val="75C961C3"/>
    <w:multiLevelType w:val="singleLevel"/>
    <w:tmpl w:val="75C961C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8">
    <w:nsid w:val="761376B9"/>
    <w:multiLevelType w:val="singleLevel"/>
    <w:tmpl w:val="761376B9"/>
    <w:lvl w:ilvl="0" w:tentative="0">
      <w:start w:val="5"/>
      <w:numFmt w:val="chineseCountingThousand"/>
      <w:suff w:val="nothing"/>
      <w:lvlText w:val="(%1)"/>
      <w:lvlJc w:val="left"/>
      <w:pPr>
        <w:ind w:left="0" w:firstLine="0"/>
      </w:pPr>
    </w:lvl>
  </w:abstractNum>
  <w:num w:numId="1">
    <w:abstractNumId w:val="7"/>
    <w:lvlOverride w:ilvl="0">
      <w:startOverride w:val="1"/>
    </w:lvlOverride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4"/>
    <w:lvlOverride w:ilvl="0">
      <w:startOverride w:val="2"/>
    </w:lvlOverride>
  </w:num>
  <w:num w:numId="8">
    <w:abstractNumId w:val="5"/>
    <w:lvlOverride w:ilvl="0">
      <w:startOverride w:val="3"/>
    </w:lvlOverride>
  </w:num>
  <w:num w:numId="9">
    <w:abstractNumId w:val="3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032"/>
    <w:rsid w:val="0000224E"/>
    <w:rsid w:val="000243C5"/>
    <w:rsid w:val="00027B0D"/>
    <w:rsid w:val="000314F0"/>
    <w:rsid w:val="00065901"/>
    <w:rsid w:val="00080F3B"/>
    <w:rsid w:val="0008175A"/>
    <w:rsid w:val="00092ACD"/>
    <w:rsid w:val="000B7AE5"/>
    <w:rsid w:val="000D022D"/>
    <w:rsid w:val="000D723C"/>
    <w:rsid w:val="00115396"/>
    <w:rsid w:val="0012031E"/>
    <w:rsid w:val="00150713"/>
    <w:rsid w:val="001A70AA"/>
    <w:rsid w:val="001C1534"/>
    <w:rsid w:val="001E0017"/>
    <w:rsid w:val="00292074"/>
    <w:rsid w:val="002942E8"/>
    <w:rsid w:val="002A0A39"/>
    <w:rsid w:val="002A2E4B"/>
    <w:rsid w:val="002A6B1F"/>
    <w:rsid w:val="00304F7E"/>
    <w:rsid w:val="00304FD4"/>
    <w:rsid w:val="0034667C"/>
    <w:rsid w:val="00385D9F"/>
    <w:rsid w:val="003D21CA"/>
    <w:rsid w:val="00402BA9"/>
    <w:rsid w:val="00406E51"/>
    <w:rsid w:val="00410592"/>
    <w:rsid w:val="00463CF1"/>
    <w:rsid w:val="004A758C"/>
    <w:rsid w:val="004D170C"/>
    <w:rsid w:val="0050461F"/>
    <w:rsid w:val="005643FC"/>
    <w:rsid w:val="005B2117"/>
    <w:rsid w:val="005D5DCB"/>
    <w:rsid w:val="006245A5"/>
    <w:rsid w:val="006405D8"/>
    <w:rsid w:val="00651AD9"/>
    <w:rsid w:val="006D1BC0"/>
    <w:rsid w:val="00704649"/>
    <w:rsid w:val="00721570"/>
    <w:rsid w:val="00721A1C"/>
    <w:rsid w:val="00770310"/>
    <w:rsid w:val="00795387"/>
    <w:rsid w:val="007A071C"/>
    <w:rsid w:val="007A098A"/>
    <w:rsid w:val="007A40A2"/>
    <w:rsid w:val="007C6B97"/>
    <w:rsid w:val="007D6FAE"/>
    <w:rsid w:val="008068D4"/>
    <w:rsid w:val="00816CD1"/>
    <w:rsid w:val="00846B5D"/>
    <w:rsid w:val="0086573E"/>
    <w:rsid w:val="00867EFB"/>
    <w:rsid w:val="0090219F"/>
    <w:rsid w:val="0091236F"/>
    <w:rsid w:val="00934B8F"/>
    <w:rsid w:val="00941DB4"/>
    <w:rsid w:val="00960EA5"/>
    <w:rsid w:val="00972BD5"/>
    <w:rsid w:val="009914D7"/>
    <w:rsid w:val="009A2A69"/>
    <w:rsid w:val="009B38A1"/>
    <w:rsid w:val="009C78F0"/>
    <w:rsid w:val="009E7959"/>
    <w:rsid w:val="00A354EA"/>
    <w:rsid w:val="00A60709"/>
    <w:rsid w:val="00A74BC2"/>
    <w:rsid w:val="00A917D4"/>
    <w:rsid w:val="00AB13E6"/>
    <w:rsid w:val="00AC48AC"/>
    <w:rsid w:val="00AC5881"/>
    <w:rsid w:val="00AF1FBE"/>
    <w:rsid w:val="00B2498D"/>
    <w:rsid w:val="00B34D30"/>
    <w:rsid w:val="00B43677"/>
    <w:rsid w:val="00B82388"/>
    <w:rsid w:val="00BA1133"/>
    <w:rsid w:val="00BA1625"/>
    <w:rsid w:val="00BD6032"/>
    <w:rsid w:val="00BE467B"/>
    <w:rsid w:val="00C302F6"/>
    <w:rsid w:val="00C542DC"/>
    <w:rsid w:val="00C74581"/>
    <w:rsid w:val="00C765A0"/>
    <w:rsid w:val="00D65938"/>
    <w:rsid w:val="00D665B6"/>
    <w:rsid w:val="00D73091"/>
    <w:rsid w:val="00DA7BF0"/>
    <w:rsid w:val="00DD2535"/>
    <w:rsid w:val="00E31D85"/>
    <w:rsid w:val="00E4606C"/>
    <w:rsid w:val="00E822FD"/>
    <w:rsid w:val="00EA15BE"/>
    <w:rsid w:val="00ED3DEB"/>
    <w:rsid w:val="00F4372B"/>
    <w:rsid w:val="00FD3AFA"/>
    <w:rsid w:val="00FD4554"/>
    <w:rsid w:val="00FE5B2B"/>
    <w:rsid w:val="00FF4355"/>
    <w:rsid w:val="03CC3C1F"/>
    <w:rsid w:val="063F2A96"/>
    <w:rsid w:val="077D1895"/>
    <w:rsid w:val="08A257C0"/>
    <w:rsid w:val="09C615A1"/>
    <w:rsid w:val="0FEE5B12"/>
    <w:rsid w:val="10301FA1"/>
    <w:rsid w:val="15473799"/>
    <w:rsid w:val="18F47382"/>
    <w:rsid w:val="1ED85532"/>
    <w:rsid w:val="1F6D7BD5"/>
    <w:rsid w:val="206A5A2A"/>
    <w:rsid w:val="21404BF3"/>
    <w:rsid w:val="223B0A6E"/>
    <w:rsid w:val="234201C6"/>
    <w:rsid w:val="2A7A0DDE"/>
    <w:rsid w:val="2B020E44"/>
    <w:rsid w:val="2C6567ED"/>
    <w:rsid w:val="2CB36911"/>
    <w:rsid w:val="2EDF7C31"/>
    <w:rsid w:val="31A80B53"/>
    <w:rsid w:val="38570AE5"/>
    <w:rsid w:val="39511E8F"/>
    <w:rsid w:val="3A141E64"/>
    <w:rsid w:val="3D5F47D6"/>
    <w:rsid w:val="3DC8533F"/>
    <w:rsid w:val="42A316B6"/>
    <w:rsid w:val="43574286"/>
    <w:rsid w:val="43A83C86"/>
    <w:rsid w:val="43B2223D"/>
    <w:rsid w:val="4698073A"/>
    <w:rsid w:val="47873792"/>
    <w:rsid w:val="4D4B3623"/>
    <w:rsid w:val="4DDC0FCC"/>
    <w:rsid w:val="51A273F3"/>
    <w:rsid w:val="52FE4724"/>
    <w:rsid w:val="53AD6272"/>
    <w:rsid w:val="59E13002"/>
    <w:rsid w:val="5BEA2AA7"/>
    <w:rsid w:val="5C813099"/>
    <w:rsid w:val="61486685"/>
    <w:rsid w:val="636A50F1"/>
    <w:rsid w:val="65D10A88"/>
    <w:rsid w:val="66A92519"/>
    <w:rsid w:val="66D50981"/>
    <w:rsid w:val="6774525C"/>
    <w:rsid w:val="71CD3D5F"/>
    <w:rsid w:val="71E06538"/>
    <w:rsid w:val="72072140"/>
    <w:rsid w:val="75BA299C"/>
    <w:rsid w:val="777775AF"/>
    <w:rsid w:val="79A253E3"/>
    <w:rsid w:val="7BE21256"/>
    <w:rsid w:val="7E7D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32"/>
      <w:szCs w:val="32"/>
    </w:rPr>
  </w:style>
  <w:style w:type="paragraph" w:styleId="5">
    <w:name w:val="Date"/>
    <w:basedOn w:val="1"/>
    <w:next w:val="1"/>
    <w:link w:val="21"/>
    <w:unhideWhenUsed/>
    <w:qFormat/>
    <w:uiPriority w:val="99"/>
    <w:pPr>
      <w:ind w:left="100" w:leftChars="2500"/>
    </w:pPr>
  </w:style>
  <w:style w:type="paragraph" w:styleId="6">
    <w:name w:val="Body Text Indent 2"/>
    <w:basedOn w:val="1"/>
    <w:link w:val="20"/>
    <w:semiHidden/>
    <w:unhideWhenUsed/>
    <w:qFormat/>
    <w:uiPriority w:val="99"/>
    <w:pPr>
      <w:spacing w:after="120" w:line="480" w:lineRule="auto"/>
      <w:ind w:left="420" w:leftChars="200"/>
    </w:pPr>
  </w:style>
  <w:style w:type="paragraph" w:styleId="7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Emphasis"/>
    <w:basedOn w:val="12"/>
    <w:qFormat/>
    <w:uiPriority w:val="20"/>
    <w:rPr>
      <w:i/>
      <w:iCs/>
    </w:rPr>
  </w:style>
  <w:style w:type="table" w:customStyle="1" w:styleId="14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列出段落1"/>
    <w:basedOn w:val="1"/>
    <w:qFormat/>
    <w:uiPriority w:val="1"/>
  </w:style>
  <w:style w:type="paragraph" w:customStyle="1" w:styleId="16">
    <w:name w:val="Table Paragraph"/>
    <w:basedOn w:val="1"/>
    <w:qFormat/>
    <w:uiPriority w:val="1"/>
  </w:style>
  <w:style w:type="character" w:customStyle="1" w:styleId="17">
    <w:name w:val="批注框文本 字符"/>
    <w:basedOn w:val="12"/>
    <w:link w:val="7"/>
    <w:semiHidden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8">
    <w:name w:val="页眉 字符"/>
    <w:basedOn w:val="12"/>
    <w:link w:val="9"/>
    <w:semiHidden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9">
    <w:name w:val="页脚 字符"/>
    <w:basedOn w:val="12"/>
    <w:link w:val="8"/>
    <w:semiHidden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20">
    <w:name w:val="正文文本缩进 2 字符"/>
    <w:basedOn w:val="12"/>
    <w:link w:val="6"/>
    <w:semiHidden/>
    <w:qFormat/>
    <w:uiPriority w:val="99"/>
    <w:rPr>
      <w:rFonts w:ascii="宋体" w:hAnsi="宋体" w:eastAsia="宋体" w:cs="宋体"/>
      <w:lang w:val="zh-CN" w:eastAsia="zh-CN" w:bidi="zh-CN"/>
    </w:rPr>
  </w:style>
  <w:style w:type="character" w:customStyle="1" w:styleId="21">
    <w:name w:val="日期 字符"/>
    <w:basedOn w:val="12"/>
    <w:link w:val="5"/>
    <w:semiHidden/>
    <w:qFormat/>
    <w:uiPriority w:val="99"/>
    <w:rPr>
      <w:rFonts w:ascii="宋体" w:hAnsi="宋体" w:cs="宋体"/>
      <w:sz w:val="22"/>
      <w:szCs w:val="22"/>
      <w:lang w:val="zh-CN" w:bidi="zh-CN"/>
    </w:rPr>
  </w:style>
  <w:style w:type="table" w:customStyle="1" w:styleId="22">
    <w:name w:val="网格型1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3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346</Words>
  <Characters>1978</Characters>
  <Lines>16</Lines>
  <Paragraphs>4</Paragraphs>
  <TotalTime>166</TotalTime>
  <ScaleCrop>false</ScaleCrop>
  <LinksUpToDate>false</LinksUpToDate>
  <CharactersWithSpaces>2320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2020-04-02T14:23:00Z</dcterms:created>
  <dc:creator>ZY</dc:creator>
  <cp:lastModifiedBy>嘛咪嘛咪哄</cp:lastModifiedBy>
  <dcterms:modified xsi:type="dcterms:W3CDTF">2020-10-27T03:26:33Z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2020-04-02T00:00:00Z</vt:filetime>
  </property>
  <property fmtid="{D5CDD505-2E9C-101B-9397-08002B2CF9AE}" pid="5" name="KSOProductBuildVer">
    <vt:lpwstr>2052-11.1.0.9999</vt:lpwstr>
  </property>
  <property fmtid="{D5CDD505-2E9C-101B-9397-08002B2CF9AE}" pid="6" name="_MarkAsFinal">
    <vt:bool>true</vt:bool>
  </property>
</Properties>
</file>