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4"/>
        <w:rPr>
          <w:rFonts w:ascii="Times New Roman"/>
          <w:sz w:val="19"/>
        </w:rPr>
      </w:pPr>
      <w:r>
        <w:rPr>
          <w:rFonts w:ascii="Times New Roman"/>
          <w:sz w:val="20"/>
          <w:lang w:val="en-US" w:bidi="ar-SA"/>
        </w:rPr>
        <w:drawing>
          <wp:anchor distT="0" distB="0" distL="0" distR="0" simplePos="0" relativeHeight="251658240" behindDoc="0" locked="0" layoutInCell="1" allowOverlap="1">
            <wp:simplePos x="0" y="0"/>
            <wp:positionH relativeFrom="column">
              <wp:posOffset>-204470</wp:posOffset>
            </wp:positionH>
            <wp:positionV relativeFrom="paragraph">
              <wp:posOffset>141605</wp:posOffset>
            </wp:positionV>
            <wp:extent cx="5688330" cy="744220"/>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88330" cy="744220"/>
                    </a:xfrm>
                    <a:prstGeom prst="rect">
                      <a:avLst/>
                    </a:prstGeom>
                    <a:noFill/>
                    <a:ln>
                      <a:noFill/>
                    </a:ln>
                  </pic:spPr>
                </pic:pic>
              </a:graphicData>
            </a:graphic>
          </wp:anchor>
        </w:drawing>
      </w:r>
    </w:p>
    <w:p>
      <w:pPr>
        <w:pStyle w:val="4"/>
        <w:ind w:left="261"/>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203"/>
        <w:jc w:val="center"/>
        <w:rPr>
          <w:rFonts w:ascii="仿宋" w:eastAsia="仿宋"/>
        </w:rPr>
      </w:pPr>
      <w:r>
        <w:rPr>
          <w:rFonts w:hint="eastAsia" w:ascii="仿宋" w:eastAsia="仿宋"/>
        </w:rPr>
        <w:t>川西人发〔</w:t>
      </w:r>
      <w:r>
        <w:rPr>
          <w:rFonts w:ascii="Times New Roman" w:hAnsi="Times New Roman" w:eastAsia="Calibri" w:cs="Times New Roman"/>
        </w:rPr>
        <w:t>2020</w:t>
      </w:r>
      <w:r>
        <w:rPr>
          <w:rFonts w:hint="eastAsia"/>
        </w:rPr>
        <w:t>〕</w:t>
      </w:r>
      <w:r>
        <w:rPr>
          <w:rFonts w:hint="eastAsia" w:ascii="Times New Roman" w:hAnsi="Times New Roman" w:cs="Times New Roman"/>
          <w:lang w:val="en-US" w:eastAsia="zh-CN"/>
        </w:rPr>
        <w:t>26</w:t>
      </w:r>
      <w:r>
        <w:rPr>
          <w:rFonts w:hint="eastAsia" w:ascii="仿宋" w:eastAsia="仿宋"/>
        </w:rPr>
        <w:t>号</w:t>
      </w:r>
    </w:p>
    <w:p>
      <w:pPr>
        <w:pStyle w:val="4"/>
        <w:spacing w:before="2"/>
        <w:rPr>
          <w:rFonts w:ascii="仿宋"/>
          <w:sz w:val="11"/>
        </w:rPr>
      </w:pPr>
      <w:r>
        <w:rPr>
          <w:lang w:val="en-US" w:bidi="ar-SA"/>
        </w:rPr>
        <mc:AlternateContent>
          <mc:Choice Requires="wps">
            <w:drawing>
              <wp:anchor distT="0" distB="0" distL="0" distR="0" simplePos="0" relativeHeight="251656192" behindDoc="1" locked="0" layoutInCell="1" allowOverlap="1">
                <wp:simplePos x="0" y="0"/>
                <wp:positionH relativeFrom="page">
                  <wp:posOffset>949325</wp:posOffset>
                </wp:positionH>
                <wp:positionV relativeFrom="paragraph">
                  <wp:posOffset>128905</wp:posOffset>
                </wp:positionV>
                <wp:extent cx="5653405" cy="0"/>
                <wp:effectExtent l="0" t="0" r="0" b="0"/>
                <wp:wrapTopAndBottom/>
                <wp:docPr id="6" name="Line 5"/>
                <wp:cNvGraphicFramePr/>
                <a:graphic xmlns:a="http://schemas.openxmlformats.org/drawingml/2006/main">
                  <a:graphicData uri="http://schemas.microsoft.com/office/word/2010/wordprocessingShape">
                    <wps:wsp>
                      <wps:cNvCnPr>
                        <a:cxnSpLocks noChangeShapeType="1"/>
                      </wps:cNvCnPr>
                      <wps:spPr bwMode="auto">
                        <a:xfrm>
                          <a:off x="0" y="0"/>
                          <a:ext cx="5653405" cy="0"/>
                        </a:xfrm>
                        <a:prstGeom prst="line">
                          <a:avLst/>
                        </a:prstGeom>
                        <a:noFill/>
                        <a:ln w="27432">
                          <a:solidFill>
                            <a:srgbClr val="FF0000"/>
                          </a:solidFill>
                          <a:round/>
                        </a:ln>
                      </wps:spPr>
                      <wps:bodyPr/>
                    </wps:wsp>
                  </a:graphicData>
                </a:graphic>
              </wp:anchor>
            </w:drawing>
          </mc:Choice>
          <mc:Fallback>
            <w:pict>
              <v:line id="Line 5" o:spid="_x0000_s1026" o:spt="20" style="position:absolute;left:0pt;margin-left:74.75pt;margin-top:10.15pt;height:0pt;width:445.15pt;mso-position-horizontal-relative:page;mso-wrap-distance-bottom:0pt;mso-wrap-distance-top:0pt;z-index:-251660288;mso-width-relative:page;mso-height-relative:page;" filled="f" stroked="t" coordsize="21600,21600" o:gfxdata="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nBMv3XAAAACgEAAA8AAAAAAAAAAQAgAAAAIgAAAGRy&#10;cy9kb3ducmV2LnhtbFBLAQIUABQAAAAIAIdO4kATtmgpzQEAAKADAAAOAAAAAAAAAAEAIAAAACYB&#10;AABkcnMvZTJvRG9jLnhtbFBLBQYAAAAABgAGAFkBAABlBQAAAAA=&#10;">
                <v:fill on="f" focussize="0,0"/>
                <v:stroke weight="2.16pt" color="#FF0000" joinstyle="round"/>
                <v:imagedata o:title=""/>
                <o:lock v:ext="edit" aspectratio="f"/>
                <w10:wrap type="topAndBottom"/>
              </v:line>
            </w:pict>
          </mc:Fallback>
        </mc:AlternateContent>
      </w:r>
    </w:p>
    <w:p>
      <w:pPr>
        <w:jc w:val="both"/>
        <w:rPr>
          <w:rFonts w:ascii="方正小标宋简体" w:hAnsi="方正小标宋简体" w:eastAsia="方正小标宋简体" w:cs="方正小标宋简体"/>
          <w:b/>
          <w:bCs/>
          <w:sz w:val="44"/>
          <w:szCs w:val="44"/>
          <w:lang w:val="en-US"/>
        </w:rPr>
      </w:pPr>
    </w:p>
    <w:p>
      <w:pPr>
        <w:jc w:val="center"/>
        <w:rPr>
          <w:rFonts w:ascii="方正小标宋简体" w:hAnsi="方正小标宋简体" w:eastAsia="方正小标宋简体" w:cs="方正小标宋简体"/>
          <w:b/>
          <w:bCs/>
          <w:sz w:val="44"/>
          <w:szCs w:val="44"/>
          <w:lang w:val="en-US"/>
        </w:rPr>
      </w:pPr>
      <w:r>
        <w:rPr>
          <w:rFonts w:hint="eastAsia" w:ascii="方正小标宋简体" w:hAnsi="方正小标宋简体" w:eastAsia="方正小标宋简体" w:cs="方正小标宋简体"/>
          <w:b/>
          <w:bCs/>
          <w:sz w:val="44"/>
          <w:szCs w:val="44"/>
          <w:lang w:val="en-US"/>
        </w:rPr>
        <w:t>四川西部人力资源开发中心</w:t>
      </w:r>
    </w:p>
    <w:p>
      <w:pPr>
        <w:jc w:val="center"/>
        <w:rPr>
          <w:rFonts w:ascii="方正小标宋简体" w:hAnsi="方正小标宋简体" w:eastAsia="方正小标宋简体" w:cs="方正小标宋简体"/>
          <w:b/>
          <w:bCs/>
          <w:sz w:val="44"/>
          <w:szCs w:val="44"/>
          <w:lang w:val="en-US"/>
        </w:rPr>
      </w:pPr>
      <w:r>
        <w:rPr>
          <w:rFonts w:hint="eastAsia" w:ascii="方正小标宋简体" w:hAnsi="方正小标宋简体" w:eastAsia="方正小标宋简体" w:cs="方正小标宋简体"/>
          <w:b/>
          <w:bCs/>
          <w:sz w:val="44"/>
          <w:szCs w:val="44"/>
          <w:lang w:val="en-US"/>
        </w:rPr>
        <w:t>关于</w:t>
      </w:r>
      <w:r>
        <w:rPr>
          <w:rFonts w:hint="eastAsia" w:ascii="方正小标宋简体" w:hAnsi="方正小标宋简体" w:eastAsia="方正小标宋简体" w:cs="方正小标宋简体"/>
          <w:b/>
          <w:bCs/>
          <w:sz w:val="44"/>
          <w:szCs w:val="44"/>
          <w:lang w:val="en-US" w:eastAsia="zh-CN"/>
        </w:rPr>
        <w:t>业务合同签署流程</w:t>
      </w:r>
      <w:r>
        <w:rPr>
          <w:rFonts w:hint="eastAsia" w:ascii="方正小标宋简体" w:hAnsi="方正小标宋简体" w:eastAsia="方正小标宋简体" w:cs="方正小标宋简体"/>
          <w:b/>
          <w:bCs/>
          <w:sz w:val="44"/>
          <w:szCs w:val="44"/>
          <w:lang w:val="en-US"/>
        </w:rPr>
        <w:t>的通知</w:t>
      </w:r>
    </w:p>
    <w:p>
      <w:pPr>
        <w:jc w:val="center"/>
        <w:rPr>
          <w:rFonts w:ascii="方正小标宋简体" w:hAnsi="方正小标宋简体" w:eastAsia="方正小标宋简体" w:cs="方正小标宋简体"/>
          <w:b/>
          <w:bCs/>
          <w:sz w:val="44"/>
          <w:szCs w:val="44"/>
          <w:lang w:val="en-US"/>
        </w:rPr>
      </w:pPr>
    </w:p>
    <w:p>
      <w:pPr>
        <w:spacing w:line="560" w:lineRule="exact"/>
        <w:ind w:right="-54"/>
        <w:jc w:val="both"/>
        <w:rPr>
          <w:rFonts w:ascii="仿宋" w:hAnsi="仿宋" w:eastAsia="仿宋" w:cs="仿宋"/>
          <w:sz w:val="32"/>
          <w:szCs w:val="32"/>
          <w:lang w:val="en-US"/>
        </w:rPr>
      </w:pPr>
      <w:r>
        <w:rPr>
          <w:rFonts w:hint="eastAsia" w:ascii="仿宋" w:hAnsi="仿宋" w:eastAsia="仿宋" w:cs="仿宋"/>
          <w:sz w:val="32"/>
          <w:szCs w:val="32"/>
          <w:lang w:val="en-US"/>
        </w:rPr>
        <w:t>各中心/部门/校区：</w:t>
      </w:r>
    </w:p>
    <w:p>
      <w:pPr>
        <w:spacing w:line="560" w:lineRule="exact"/>
        <w:ind w:firstLine="640" w:firstLineChars="200"/>
        <w:jc w:val="both"/>
        <w:rPr>
          <w:rFonts w:hint="default" w:ascii="仿宋" w:hAnsi="仿宋" w:eastAsia="仿宋" w:cs="方正仿宋_GB2312"/>
          <w:sz w:val="32"/>
          <w:szCs w:val="32"/>
          <w:lang w:val="en-US" w:eastAsia="zh-CN"/>
        </w:rPr>
      </w:pPr>
      <w:bookmarkStart w:id="0" w:name="_GoBack"/>
      <w:r>
        <w:rPr>
          <w:rFonts w:hint="default" w:ascii="仿宋" w:hAnsi="仿宋" w:eastAsia="仿宋" w:cs="方正仿宋_GB2312"/>
          <w:sz w:val="32"/>
          <w:szCs w:val="32"/>
          <w:lang w:val="en-US" w:eastAsia="zh-CN"/>
        </w:rPr>
        <w:t>为了有效规范合同审批</w:t>
      </w:r>
      <w:r>
        <w:rPr>
          <w:rFonts w:hint="eastAsia" w:ascii="仿宋" w:hAnsi="仿宋" w:eastAsia="仿宋" w:cs="方正仿宋_GB2312"/>
          <w:sz w:val="32"/>
          <w:szCs w:val="32"/>
          <w:lang w:val="en-US" w:eastAsia="zh-CN"/>
        </w:rPr>
        <w:t>、存档工作</w:t>
      </w:r>
      <w:r>
        <w:rPr>
          <w:rFonts w:hint="default" w:ascii="仿宋" w:hAnsi="仿宋" w:eastAsia="仿宋" w:cs="方正仿宋_GB2312"/>
          <w:sz w:val="32"/>
          <w:szCs w:val="32"/>
          <w:lang w:val="en-US" w:eastAsia="zh-CN"/>
        </w:rPr>
        <w:t>流程,解决近期合同审核过程中存在的问题,</w:t>
      </w:r>
      <w:r>
        <w:rPr>
          <w:rFonts w:hint="eastAsia" w:ascii="仿宋" w:hAnsi="仿宋" w:eastAsia="仿宋" w:cs="方正仿宋_GB2312"/>
          <w:sz w:val="32"/>
          <w:szCs w:val="32"/>
          <w:lang w:val="en-US" w:eastAsia="zh-CN"/>
        </w:rPr>
        <w:t>经中心主任办公会研究决定对各部门签署的业务合同流程进行统一规范</w:t>
      </w:r>
      <w:bookmarkEnd w:id="0"/>
      <w:r>
        <w:rPr>
          <w:rFonts w:hint="eastAsia" w:ascii="仿宋" w:hAnsi="仿宋" w:eastAsia="仿宋" w:cs="方正仿宋_GB2312"/>
          <w:sz w:val="32"/>
          <w:szCs w:val="32"/>
          <w:lang w:val="en-US" w:eastAsia="zh-CN"/>
        </w:rPr>
        <w:t>，具体如下：</w:t>
      </w:r>
    </w:p>
    <w:p>
      <w:pPr>
        <w:spacing w:line="560" w:lineRule="exact"/>
        <w:ind w:firstLine="640" w:firstLineChars="200"/>
        <w:jc w:val="both"/>
        <w:rPr>
          <w:rFonts w:hint="eastAsia" w:ascii="仿宋" w:hAnsi="仿宋" w:eastAsia="仿宋" w:cs="方正仿宋_GB2312"/>
          <w:sz w:val="32"/>
          <w:szCs w:val="32"/>
          <w:lang w:val="en-US"/>
        </w:rPr>
      </w:pPr>
    </w:p>
    <w:p>
      <w:pPr>
        <w:jc w:val="center"/>
        <w:rPr>
          <w:rFonts w:ascii="微软雅黑" w:hAnsi="微软雅黑" w:eastAsia="微软雅黑"/>
          <w:b/>
          <w:bCs/>
          <w:sz w:val="32"/>
          <w:szCs w:val="32"/>
        </w:rPr>
      </w:pPr>
      <w:r>
        <w:rPr>
          <w:rFonts w:hint="eastAsia" w:ascii="微软雅黑" w:hAnsi="微软雅黑" w:eastAsia="微软雅黑"/>
          <w:b/>
          <w:bCs/>
          <w:sz w:val="32"/>
          <w:szCs w:val="32"/>
          <w:lang w:val="en-US" w:eastAsia="zh-CN"/>
        </w:rPr>
        <w:t>业务</w:t>
      </w:r>
      <w:r>
        <w:rPr>
          <w:rFonts w:hint="eastAsia" w:ascii="微软雅黑" w:hAnsi="微软雅黑" w:eastAsia="微软雅黑"/>
          <w:b/>
          <w:bCs/>
          <w:sz w:val="32"/>
          <w:szCs w:val="32"/>
        </w:rPr>
        <w:t>合同签署流程</w:t>
      </w:r>
    </w:p>
    <w:p>
      <w:pPr>
        <w:pStyle w:val="23"/>
        <w:ind w:left="360" w:firstLine="0" w:firstLineChars="0"/>
      </w:pP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850"/>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gridSpan w:val="2"/>
            <w:vAlign w:val="center"/>
          </w:tcPr>
          <w:p>
            <w:pPr>
              <w:pStyle w:val="23"/>
              <w:ind w:firstLine="0" w:firstLineChars="0"/>
              <w:jc w:val="center"/>
              <w:rPr>
                <w:rFonts w:ascii="微软雅黑" w:hAnsi="微软雅黑" w:eastAsia="微软雅黑"/>
                <w:b/>
                <w:bCs/>
              </w:rPr>
            </w:pPr>
            <w:r>
              <w:rPr>
                <w:rFonts w:hint="eastAsia" w:ascii="微软雅黑" w:hAnsi="微软雅黑" w:eastAsia="微软雅黑"/>
                <w:b/>
                <w:bCs/>
              </w:rPr>
              <w:t>环节</w:t>
            </w:r>
          </w:p>
        </w:tc>
        <w:tc>
          <w:tcPr>
            <w:tcW w:w="6600" w:type="dxa"/>
            <w:vAlign w:val="center"/>
          </w:tcPr>
          <w:p>
            <w:pPr>
              <w:pStyle w:val="23"/>
              <w:ind w:firstLine="0" w:firstLineChars="0"/>
              <w:jc w:val="center"/>
              <w:rPr>
                <w:rFonts w:ascii="微软雅黑" w:hAnsi="微软雅黑" w:eastAsia="微软雅黑"/>
                <w:b/>
                <w:bCs/>
              </w:rPr>
            </w:pPr>
            <w:r>
              <w:rPr>
                <w:rFonts w:hint="eastAsia" w:ascii="微软雅黑" w:hAnsi="微软雅黑" w:eastAsia="微软雅黑"/>
                <w:b/>
                <w:bCs/>
              </w:rPr>
              <w:t>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pPr>
              <w:pStyle w:val="23"/>
              <w:numPr>
                <w:ilvl w:val="0"/>
                <w:numId w:val="1"/>
              </w:numPr>
              <w:ind w:firstLineChars="0"/>
              <w:jc w:val="both"/>
              <w:rPr>
                <w:rFonts w:ascii="微软雅黑" w:hAnsi="微软雅黑" w:eastAsia="微软雅黑"/>
              </w:rPr>
            </w:pPr>
          </w:p>
        </w:tc>
        <w:tc>
          <w:tcPr>
            <w:tcW w:w="850" w:type="dxa"/>
            <w:vAlign w:val="center"/>
          </w:tcPr>
          <w:p>
            <w:pPr>
              <w:pStyle w:val="23"/>
              <w:snapToGrid w:val="0"/>
              <w:ind w:firstLine="0" w:firstLineChars="0"/>
              <w:jc w:val="center"/>
              <w:rPr>
                <w:rFonts w:ascii="微软雅黑" w:hAnsi="微软雅黑" w:eastAsia="微软雅黑"/>
                <w:b/>
                <w:bCs/>
                <w:sz w:val="28"/>
                <w:szCs w:val="32"/>
              </w:rPr>
            </w:pPr>
            <w:r>
              <w:rPr>
                <w:rFonts w:hint="eastAsia" w:ascii="微软雅黑" w:hAnsi="微软雅黑" w:eastAsia="微软雅黑"/>
                <w:b/>
                <w:bCs/>
                <w:sz w:val="28"/>
                <w:szCs w:val="32"/>
              </w:rPr>
              <w:t>协议磋商</w:t>
            </w:r>
          </w:p>
        </w:tc>
        <w:tc>
          <w:tcPr>
            <w:tcW w:w="6600" w:type="dxa"/>
          </w:tcPr>
          <w:p>
            <w:pPr>
              <w:pStyle w:val="23"/>
              <w:ind w:firstLine="0" w:firstLineChars="0"/>
              <w:jc w:val="both"/>
              <w:rPr>
                <w:rFonts w:ascii="微软雅黑" w:hAnsi="微软雅黑" w:eastAsia="微软雅黑"/>
              </w:rPr>
            </w:pPr>
            <w:r>
              <w:rPr>
                <w:rFonts w:hint="eastAsia" w:ascii="微软雅黑" w:hAnsi="微软雅黑" w:eastAsia="微软雅黑"/>
              </w:rPr>
              <w:t>业务人员与客户洽谈合作事项，并体现在协议上，形成协议内容定稿（草案、商议、向部门或陈总协商细节、敲定协议内容）。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pPr>
              <w:pStyle w:val="23"/>
              <w:numPr>
                <w:ilvl w:val="0"/>
                <w:numId w:val="1"/>
              </w:numPr>
              <w:ind w:firstLineChars="0"/>
              <w:jc w:val="both"/>
              <w:rPr>
                <w:rFonts w:ascii="微软雅黑" w:hAnsi="微软雅黑" w:eastAsia="微软雅黑"/>
              </w:rPr>
            </w:pPr>
          </w:p>
        </w:tc>
        <w:tc>
          <w:tcPr>
            <w:tcW w:w="850" w:type="dxa"/>
            <w:vAlign w:val="center"/>
          </w:tcPr>
          <w:p>
            <w:pPr>
              <w:snapToGrid w:val="0"/>
              <w:jc w:val="center"/>
              <w:rPr>
                <w:rFonts w:ascii="微软雅黑" w:hAnsi="微软雅黑" w:eastAsia="微软雅黑"/>
                <w:b/>
                <w:bCs/>
                <w:sz w:val="28"/>
                <w:szCs w:val="32"/>
              </w:rPr>
            </w:pPr>
            <w:r>
              <w:rPr>
                <w:rFonts w:hint="eastAsia" w:ascii="微软雅黑" w:hAnsi="微软雅黑" w:eastAsia="微软雅黑"/>
                <w:b/>
                <w:bCs/>
                <w:sz w:val="28"/>
                <w:szCs w:val="32"/>
              </w:rPr>
              <w:t>协议审批</w:t>
            </w:r>
          </w:p>
        </w:tc>
        <w:tc>
          <w:tcPr>
            <w:tcW w:w="6600" w:type="dxa"/>
          </w:tcPr>
          <w:p>
            <w:pPr>
              <w:jc w:val="both"/>
              <w:rPr>
                <w:rFonts w:ascii="微软雅黑" w:hAnsi="微软雅黑" w:eastAsia="微软雅黑"/>
              </w:rPr>
            </w:pPr>
            <w:r>
              <w:rPr>
                <w:rFonts w:hint="eastAsia" w:ascii="微软雅黑" w:hAnsi="微软雅黑" w:eastAsia="微软雅黑"/>
              </w:rPr>
              <w:t>2</w:t>
            </w:r>
            <w:r>
              <w:rPr>
                <w:rFonts w:ascii="微软雅黑" w:hAnsi="微软雅黑" w:eastAsia="微软雅黑"/>
              </w:rPr>
              <w:t xml:space="preserve">.1 </w:t>
            </w:r>
            <w:r>
              <w:rPr>
                <w:rFonts w:hint="eastAsia" w:ascii="微软雅黑" w:hAnsi="微软雅黑" w:eastAsia="微软雅黑"/>
              </w:rPr>
              <w:t>协议内容敲定后，发起钉钉-合同审批流程，填写相关信息并上传协议定稿附件（word版），同时也告知客户内部走流程敲定协议内容；</w:t>
            </w:r>
          </w:p>
          <w:p>
            <w:pPr>
              <w:pStyle w:val="23"/>
              <w:ind w:firstLine="0" w:firstLineChars="0"/>
              <w:jc w:val="both"/>
              <w:rPr>
                <w:rFonts w:ascii="微软雅黑" w:hAnsi="微软雅黑" w:eastAsia="微软雅黑"/>
              </w:rPr>
            </w:pPr>
            <w:r>
              <w:rPr>
                <w:rFonts w:hint="eastAsia" w:ascii="微软雅黑" w:hAnsi="微软雅黑" w:eastAsia="微软雅黑"/>
              </w:rPr>
              <w:t>2</w:t>
            </w:r>
            <w:r>
              <w:rPr>
                <w:rFonts w:ascii="微软雅黑" w:hAnsi="微软雅黑" w:eastAsia="微软雅黑"/>
              </w:rPr>
              <w:t xml:space="preserve">.2 </w:t>
            </w:r>
            <w:r>
              <w:rPr>
                <w:rFonts w:hint="eastAsia" w:ascii="微软雅黑" w:hAnsi="微软雅黑" w:eastAsia="微软雅黑"/>
              </w:rPr>
              <w:t>由主管部门、财务和陈总依次审批，抄送所有部门长。如有修改，再次商定后重新发起流程。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pPr>
              <w:pStyle w:val="23"/>
              <w:numPr>
                <w:ilvl w:val="0"/>
                <w:numId w:val="1"/>
              </w:numPr>
              <w:ind w:firstLineChars="0"/>
              <w:jc w:val="both"/>
              <w:rPr>
                <w:rFonts w:ascii="微软雅黑" w:hAnsi="微软雅黑" w:eastAsia="微软雅黑"/>
              </w:rPr>
            </w:pPr>
          </w:p>
        </w:tc>
        <w:tc>
          <w:tcPr>
            <w:tcW w:w="850" w:type="dxa"/>
            <w:vAlign w:val="center"/>
          </w:tcPr>
          <w:p>
            <w:pPr>
              <w:snapToGrid w:val="0"/>
              <w:jc w:val="center"/>
              <w:rPr>
                <w:rFonts w:ascii="微软雅黑" w:hAnsi="微软雅黑" w:eastAsia="微软雅黑"/>
                <w:b/>
                <w:bCs/>
                <w:sz w:val="28"/>
                <w:szCs w:val="32"/>
              </w:rPr>
            </w:pPr>
            <w:r>
              <w:rPr>
                <w:rFonts w:hint="eastAsia" w:ascii="微软雅黑" w:hAnsi="微软雅黑" w:eastAsia="微软雅黑"/>
                <w:b/>
                <w:bCs/>
                <w:sz w:val="28"/>
                <w:szCs w:val="32"/>
              </w:rPr>
              <w:t>签署盖章</w:t>
            </w:r>
          </w:p>
        </w:tc>
        <w:tc>
          <w:tcPr>
            <w:tcW w:w="6600" w:type="dxa"/>
          </w:tcPr>
          <w:p>
            <w:pPr>
              <w:pStyle w:val="23"/>
              <w:ind w:firstLine="0" w:firstLineChars="0"/>
              <w:jc w:val="both"/>
              <w:rPr>
                <w:rFonts w:ascii="微软雅黑" w:hAnsi="微软雅黑" w:eastAsia="微软雅黑"/>
              </w:rPr>
            </w:pPr>
            <w:r>
              <w:rPr>
                <w:rFonts w:hint="eastAsia" w:ascii="微软雅黑" w:hAnsi="微软雅黑" w:eastAsia="微软雅黑"/>
              </w:rPr>
              <w:t>业务人员联系甲乙双方签字盖章（公章或合同章），体量较大的协议（特事特办），由部门长或陈总参与签署。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pPr>
              <w:pStyle w:val="23"/>
              <w:numPr>
                <w:ilvl w:val="0"/>
                <w:numId w:val="1"/>
              </w:numPr>
              <w:ind w:firstLineChars="0"/>
              <w:jc w:val="both"/>
              <w:rPr>
                <w:rFonts w:ascii="微软雅黑" w:hAnsi="微软雅黑" w:eastAsia="微软雅黑"/>
              </w:rPr>
            </w:pPr>
          </w:p>
        </w:tc>
        <w:tc>
          <w:tcPr>
            <w:tcW w:w="850" w:type="dxa"/>
            <w:vAlign w:val="center"/>
          </w:tcPr>
          <w:p>
            <w:pPr>
              <w:snapToGrid w:val="0"/>
              <w:jc w:val="center"/>
              <w:rPr>
                <w:rFonts w:ascii="微软雅黑" w:hAnsi="微软雅黑" w:eastAsia="微软雅黑"/>
                <w:b/>
                <w:bCs/>
                <w:sz w:val="28"/>
                <w:szCs w:val="32"/>
              </w:rPr>
            </w:pPr>
            <w:r>
              <w:rPr>
                <w:rFonts w:hint="eastAsia" w:ascii="微软雅黑" w:hAnsi="微软雅黑" w:eastAsia="微软雅黑"/>
                <w:b/>
                <w:bCs/>
                <w:sz w:val="28"/>
                <w:szCs w:val="32"/>
              </w:rPr>
              <w:t>协议存档</w:t>
            </w:r>
          </w:p>
        </w:tc>
        <w:tc>
          <w:tcPr>
            <w:tcW w:w="6600" w:type="dxa"/>
          </w:tcPr>
          <w:p>
            <w:pPr>
              <w:pStyle w:val="23"/>
              <w:ind w:firstLine="0" w:firstLineChars="0"/>
              <w:jc w:val="both"/>
              <w:rPr>
                <w:rFonts w:ascii="微软雅黑" w:hAnsi="微软雅黑" w:eastAsia="微软雅黑"/>
              </w:rPr>
            </w:pPr>
            <w:r>
              <w:rPr>
                <w:rFonts w:hint="eastAsia" w:ascii="微软雅黑" w:hAnsi="微软雅黑" w:eastAsia="微软雅黑"/>
              </w:rPr>
              <w:t>签署后的协议原件上交财务部，原件扫描件PDF版上传至原协议内容审批单内。（电子版命名规则：时间+客户+项目）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6" w:type="dxa"/>
            <w:gridSpan w:val="3"/>
          </w:tcPr>
          <w:p>
            <w:pPr>
              <w:pStyle w:val="23"/>
              <w:ind w:firstLine="0" w:firstLineChars="0"/>
              <w:jc w:val="both"/>
              <w:rPr>
                <w:rFonts w:ascii="微软雅黑" w:hAnsi="微软雅黑" w:eastAsia="微软雅黑"/>
                <w:b/>
                <w:bCs/>
              </w:rPr>
            </w:pPr>
            <w:r>
              <w:rPr>
                <w:rFonts w:hint="eastAsia" w:ascii="微软雅黑" w:hAnsi="微软雅黑" w:eastAsia="微软雅黑"/>
                <w:b/>
                <w:bCs/>
              </w:rPr>
              <w:t>备注：</w:t>
            </w:r>
          </w:p>
          <w:p>
            <w:pPr>
              <w:pStyle w:val="23"/>
              <w:numPr>
                <w:ilvl w:val="0"/>
                <w:numId w:val="2"/>
              </w:numPr>
              <w:ind w:left="375" w:firstLineChars="0"/>
              <w:jc w:val="both"/>
              <w:rPr>
                <w:rFonts w:ascii="微软雅黑" w:hAnsi="微软雅黑" w:eastAsia="微软雅黑"/>
              </w:rPr>
            </w:pPr>
            <w:r>
              <w:rPr>
                <w:rFonts w:hint="eastAsia" w:ascii="微软雅黑" w:hAnsi="微软雅黑" w:eastAsia="微软雅黑"/>
              </w:rPr>
              <w:t>各不同类型的协议模板，由市场部统一提供，业务员根据需求进行修改后使用；</w:t>
            </w:r>
          </w:p>
          <w:p>
            <w:pPr>
              <w:pStyle w:val="23"/>
              <w:numPr>
                <w:ilvl w:val="0"/>
                <w:numId w:val="2"/>
              </w:numPr>
              <w:ind w:left="375" w:firstLineChars="0"/>
              <w:jc w:val="both"/>
              <w:rPr>
                <w:rFonts w:ascii="微软雅黑" w:hAnsi="微软雅黑" w:eastAsia="微软雅黑"/>
              </w:rPr>
            </w:pPr>
            <w:r>
              <w:rPr>
                <w:rFonts w:hint="eastAsia" w:ascii="微软雅黑" w:hAnsi="微软雅黑" w:eastAsia="微软雅黑"/>
              </w:rPr>
              <w:t>协议磋商中，如有超出权限或不能确定的，可向上汇报商议确定方案，并最终与客户达成一致同意的协议定稿。</w:t>
            </w:r>
          </w:p>
          <w:p>
            <w:pPr>
              <w:pStyle w:val="23"/>
              <w:numPr>
                <w:ilvl w:val="0"/>
                <w:numId w:val="2"/>
              </w:numPr>
              <w:ind w:left="375" w:firstLineChars="0"/>
              <w:jc w:val="both"/>
              <w:rPr>
                <w:rFonts w:ascii="微软雅黑" w:hAnsi="微软雅黑" w:eastAsia="微软雅黑"/>
              </w:rPr>
            </w:pPr>
            <w:r>
              <w:rPr>
                <w:rFonts w:hint="eastAsia" w:ascii="微软雅黑" w:hAnsi="微软雅黑" w:eastAsia="微软雅黑"/>
              </w:rPr>
              <w:t>盖章均使用公章或合同章，如有客户使用业务章等特殊用章的，于“协议审批”环节在钉钉审批单中备注说明。</w:t>
            </w:r>
          </w:p>
          <w:p>
            <w:pPr>
              <w:pStyle w:val="23"/>
              <w:numPr>
                <w:ilvl w:val="0"/>
                <w:numId w:val="2"/>
              </w:numPr>
              <w:ind w:left="375" w:firstLineChars="0"/>
              <w:jc w:val="both"/>
              <w:rPr>
                <w:rFonts w:ascii="微软雅黑" w:hAnsi="微软雅黑" w:eastAsia="微软雅黑"/>
              </w:rPr>
            </w:pPr>
            <w:r>
              <w:rPr>
                <w:rFonts w:hint="eastAsia" w:ascii="微软雅黑" w:hAnsi="微软雅黑" w:eastAsia="微软雅黑"/>
              </w:rPr>
              <w:t>协议签署盖章，除文末盖章之外，多页内容的，双方要加盖骑缝章。</w:t>
            </w:r>
          </w:p>
        </w:tc>
      </w:tr>
    </w:tbl>
    <w:p>
      <w:pPr>
        <w:spacing w:line="560" w:lineRule="exact"/>
        <w:ind w:firstLine="640" w:firstLineChars="200"/>
        <w:jc w:val="both"/>
        <w:rPr>
          <w:rFonts w:ascii="仿宋" w:hAnsi="仿宋" w:eastAsia="仿宋" w:cs="方正仿宋_GB2312"/>
          <w:sz w:val="32"/>
          <w:szCs w:val="32"/>
          <w:lang w:val="en-US"/>
        </w:rPr>
      </w:pPr>
    </w:p>
    <w:p>
      <w:pPr>
        <w:spacing w:line="560" w:lineRule="exact"/>
        <w:ind w:firstLine="640" w:firstLineChars="200"/>
        <w:jc w:val="both"/>
        <w:rPr>
          <w:rFonts w:ascii="仿宋" w:hAnsi="仿宋" w:eastAsia="仿宋" w:cs="方正仿宋_GB2312"/>
          <w:sz w:val="32"/>
          <w:szCs w:val="32"/>
          <w:lang w:val="en-US"/>
        </w:rPr>
      </w:pPr>
    </w:p>
    <w:p>
      <w:pPr>
        <w:spacing w:line="560" w:lineRule="exact"/>
        <w:ind w:firstLine="640" w:firstLineChars="200"/>
        <w:jc w:val="both"/>
        <w:rPr>
          <w:rFonts w:ascii="仿宋" w:hAnsi="仿宋" w:eastAsia="仿宋" w:cs="方正仿宋_GB2312"/>
          <w:sz w:val="32"/>
          <w:szCs w:val="32"/>
          <w:lang w:val="en-US"/>
        </w:rPr>
      </w:pPr>
    </w:p>
    <w:p>
      <w:pPr>
        <w:spacing w:line="560" w:lineRule="exact"/>
        <w:ind w:firstLine="640" w:firstLineChars="200"/>
        <w:jc w:val="both"/>
        <w:rPr>
          <w:rFonts w:ascii="仿宋" w:hAnsi="仿宋" w:eastAsia="仿宋" w:cs="方正仿宋_GB2312"/>
          <w:sz w:val="32"/>
          <w:szCs w:val="32"/>
          <w:lang w:val="en-US"/>
        </w:rPr>
      </w:pPr>
      <w:r>
        <w:rPr>
          <w:rFonts w:ascii="仿宋" w:hAnsi="仿宋" w:eastAsia="仿宋" w:cs="方正仿宋_GB2312"/>
          <w:sz w:val="32"/>
          <w:szCs w:val="32"/>
          <w:lang w:val="en-US"/>
        </w:rPr>
        <w:drawing>
          <wp:anchor distT="0" distB="0" distL="114300" distR="114300" simplePos="0" relativeHeight="251659264" behindDoc="1" locked="0" layoutInCell="1" allowOverlap="1">
            <wp:simplePos x="0" y="0"/>
            <wp:positionH relativeFrom="column">
              <wp:posOffset>3329940</wp:posOffset>
            </wp:positionH>
            <wp:positionV relativeFrom="paragraph">
              <wp:posOffset>123190</wp:posOffset>
            </wp:positionV>
            <wp:extent cx="1510665" cy="151892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10665" cy="1518920"/>
                    </a:xfrm>
                    <a:prstGeom prst="rect">
                      <a:avLst/>
                    </a:prstGeom>
                    <a:noFill/>
                    <a:ln>
                      <a:noFill/>
                    </a:ln>
                  </pic:spPr>
                </pic:pic>
              </a:graphicData>
            </a:graphic>
          </wp:anchor>
        </w:drawing>
      </w:r>
    </w:p>
    <w:p>
      <w:pPr>
        <w:spacing w:line="560" w:lineRule="exact"/>
        <w:ind w:firstLine="640" w:firstLineChars="200"/>
        <w:jc w:val="both"/>
        <w:rPr>
          <w:rFonts w:ascii="仿宋" w:hAnsi="仿宋" w:eastAsia="仿宋" w:cs="方正仿宋_GB2312"/>
          <w:sz w:val="32"/>
          <w:szCs w:val="32"/>
          <w:lang w:val="en-US"/>
        </w:rPr>
      </w:pPr>
    </w:p>
    <w:p>
      <w:pPr>
        <w:spacing w:line="560" w:lineRule="exact"/>
        <w:ind w:right="240" w:firstLine="640" w:firstLineChars="200"/>
        <w:jc w:val="right"/>
        <w:rPr>
          <w:rFonts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sz w:val="32"/>
          <w:szCs w:val="32"/>
          <w:lang w:val="en-US"/>
        </w:rPr>
        <w:t>四川西部人力资源开发中心</w:t>
      </w:r>
    </w:p>
    <w:p>
      <w:pPr>
        <w:wordWrap w:val="0"/>
        <w:spacing w:line="560" w:lineRule="exact"/>
        <w:ind w:right="240" w:firstLine="640" w:firstLineChars="200"/>
        <w:jc w:val="right"/>
        <w:rPr>
          <w:rFonts w:ascii="方正仿宋_GB2312" w:hAnsi="方正仿宋_GB2312" w:eastAsia="方正仿宋_GB2312" w:cs="方正仿宋_GB2312"/>
          <w:sz w:val="32"/>
          <w:szCs w:val="32"/>
          <w:lang w:val="en-US"/>
        </w:rPr>
      </w:pPr>
      <w:r>
        <w:rPr>
          <w:rFonts w:ascii="Times New Roman" w:hAnsi="Times New Roman" w:eastAsia="方正仿宋_GB2312" w:cs="Times New Roman"/>
          <w:sz w:val="32"/>
          <w:szCs w:val="32"/>
          <w:lang w:val="en-US"/>
        </w:rPr>
        <w:t>2020</w:t>
      </w:r>
      <w:r>
        <w:rPr>
          <w:rFonts w:hint="eastAsia" w:ascii="方正仿宋_GB2312" w:hAnsi="方正仿宋_GB2312" w:eastAsia="方正仿宋_GB2312" w:cs="方正仿宋_GB2312"/>
          <w:sz w:val="32"/>
          <w:szCs w:val="32"/>
          <w:lang w:val="en-US"/>
        </w:rPr>
        <w:t>年</w:t>
      </w:r>
      <w:r>
        <w:rPr>
          <w:rFonts w:ascii="Times New Roman" w:hAnsi="Times New Roman" w:eastAsia="方正仿宋_GB2312" w:cs="Times New Roman"/>
          <w:sz w:val="32"/>
          <w:szCs w:val="32"/>
          <w:lang w:val="en-US"/>
        </w:rPr>
        <w:t>1</w:t>
      </w:r>
      <w:r>
        <w:rPr>
          <w:rFonts w:hint="eastAsia" w:ascii="Times New Roman" w:hAnsi="Times New Roman" w:eastAsia="方正仿宋_GB2312" w:cs="Times New Roman"/>
          <w:sz w:val="32"/>
          <w:szCs w:val="32"/>
          <w:lang w:val="en-US" w:eastAsia="zh-CN"/>
        </w:rPr>
        <w:t>1</w:t>
      </w:r>
      <w:r>
        <w:rPr>
          <w:rFonts w:hint="eastAsia" w:ascii="方正仿宋_GB2312" w:hAnsi="方正仿宋_GB2312" w:eastAsia="方正仿宋_GB2312" w:cs="方正仿宋_GB2312"/>
          <w:sz w:val="32"/>
          <w:szCs w:val="32"/>
          <w:lang w:val="en-US"/>
        </w:rPr>
        <w:t>月</w:t>
      </w:r>
      <w:r>
        <w:rPr>
          <w:rFonts w:hint="eastAsia" w:ascii="Times New Roman" w:hAnsi="Times New Roman" w:eastAsia="方正仿宋_GB2312" w:cs="Times New Roman"/>
          <w:sz w:val="32"/>
          <w:szCs w:val="32"/>
          <w:lang w:val="en-US" w:eastAsia="zh-CN"/>
        </w:rPr>
        <w:t>17</w:t>
      </w:r>
      <w:r>
        <w:rPr>
          <w:rFonts w:hint="eastAsia" w:ascii="方正仿宋_GB2312" w:hAnsi="方正仿宋_GB2312" w:eastAsia="方正仿宋_GB2312" w:cs="方正仿宋_GB2312"/>
          <w:sz w:val="32"/>
          <w:szCs w:val="32"/>
          <w:lang w:val="en-US"/>
        </w:rPr>
        <w:t xml:space="preserve">日 </w:t>
      </w:r>
      <w:r>
        <w:rPr>
          <w:rFonts w:ascii="方正仿宋_GB2312" w:hAnsi="方正仿宋_GB2312" w:eastAsia="方正仿宋_GB2312" w:cs="方正仿宋_GB2312"/>
          <w:sz w:val="32"/>
          <w:szCs w:val="32"/>
          <w:lang w:val="en-US"/>
        </w:rPr>
        <w:t xml:space="preserve">    </w:t>
      </w:r>
    </w:p>
    <w:p>
      <w:pPr>
        <w:spacing w:line="560" w:lineRule="exact"/>
        <w:ind w:firstLine="640" w:firstLineChars="200"/>
        <w:jc w:val="both"/>
        <w:rPr>
          <w:rFonts w:ascii="仿宋" w:hAnsi="仿宋" w:eastAsia="仿宋" w:cs="方正仿宋_GB2312"/>
          <w:sz w:val="32"/>
          <w:szCs w:val="32"/>
          <w:lang w:val="en-US"/>
        </w:rPr>
      </w:pPr>
    </w:p>
    <w:p>
      <w:pPr>
        <w:spacing w:line="560" w:lineRule="exact"/>
        <w:ind w:firstLine="640" w:firstLineChars="200"/>
        <w:jc w:val="both"/>
        <w:rPr>
          <w:rFonts w:ascii="仿宋" w:hAnsi="仿宋" w:eastAsia="仿宋" w:cs="方正仿宋_GB2312"/>
          <w:sz w:val="32"/>
          <w:szCs w:val="32"/>
          <w:lang w:val="en-US"/>
        </w:rPr>
      </w:pPr>
    </w:p>
    <w:p>
      <w:pPr>
        <w:widowControl/>
        <w:autoSpaceDE/>
        <w:autoSpaceDN/>
        <w:rPr>
          <w:rFonts w:ascii="方正仿宋_GB2312" w:hAnsi="方正仿宋_GB2312" w:eastAsia="方正仿宋_GB2312" w:cs="方正仿宋_GB2312"/>
          <w:sz w:val="32"/>
          <w:szCs w:val="32"/>
          <w:lang w:val="en-US"/>
        </w:rPr>
      </w:pPr>
    </w:p>
    <w:p>
      <w:pPr>
        <w:widowControl/>
        <w:autoSpaceDE/>
        <w:autoSpaceDN/>
        <w:rPr>
          <w:rFonts w:ascii="方正仿宋_GB2312" w:hAnsi="方正仿宋_GB2312" w:eastAsia="方正仿宋_GB2312" w:cs="方正仿宋_GB2312"/>
          <w:sz w:val="32"/>
          <w:szCs w:val="32"/>
          <w:lang w:val="en-US"/>
        </w:rPr>
      </w:pPr>
    </w:p>
    <w:p>
      <w:pPr>
        <w:widowControl/>
        <w:autoSpaceDE/>
        <w:autoSpaceDN/>
        <w:rPr>
          <w:rFonts w:ascii="方正仿宋_GB2312" w:hAnsi="方正仿宋_GB2312" w:eastAsia="方正仿宋_GB2312" w:cs="方正仿宋_GB2312"/>
          <w:sz w:val="32"/>
          <w:szCs w:val="32"/>
          <w:lang w:val="en-US"/>
        </w:rPr>
      </w:pPr>
    </w:p>
    <w:p>
      <w:pPr>
        <w:widowControl/>
        <w:autoSpaceDE/>
        <w:autoSpaceDN/>
        <w:rPr>
          <w:rFonts w:ascii="方正仿宋_GB2312" w:hAnsi="方正仿宋_GB2312" w:eastAsia="方正仿宋_GB2312" w:cs="方正仿宋_GB2312"/>
          <w:sz w:val="32"/>
          <w:szCs w:val="32"/>
          <w:lang w:val="en-US"/>
        </w:rPr>
      </w:pPr>
    </w:p>
    <w:p>
      <w:pPr>
        <w:spacing w:line="560" w:lineRule="exact"/>
        <w:ind w:right="-54"/>
        <w:jc w:val="both"/>
        <w:rPr>
          <w:rFonts w:ascii="方正仿宋_GB2312" w:hAnsi="方正仿宋_GB2312" w:eastAsia="方正仿宋_GB2312" w:cs="方正仿宋_GB2312"/>
          <w:sz w:val="32"/>
          <w:szCs w:val="32"/>
          <w:lang w:val="en-US"/>
        </w:rPr>
      </w:pPr>
    </w:p>
    <w:p>
      <w:pPr>
        <w:pStyle w:val="4"/>
        <w:tabs>
          <w:tab w:val="left" w:pos="8222"/>
        </w:tabs>
        <w:spacing w:before="55" w:after="130"/>
        <w:ind w:firstLine="320" w:firstLineChars="100"/>
        <w:rPr>
          <w:rFonts w:ascii="仿宋" w:eastAsia="仿宋"/>
        </w:rPr>
      </w:pPr>
      <w:r>
        <w:rPr>
          <w:rFonts w:hint="eastAsia" w:ascii="方正仿宋_GB2312" w:hAnsi="方正仿宋_GB2312" w:eastAsia="方正仿宋_GB2312" w:cs="方正仿宋_GB2312"/>
          <w:lang w:val="en-US" w:bidi="ar-SA"/>
        </w:rPr>
        <mc:AlternateContent>
          <mc:Choice Requires="wps">
            <w:drawing>
              <wp:anchor distT="0" distB="0" distL="0" distR="0" simplePos="0" relativeHeight="251657216" behindDoc="1" locked="0" layoutInCell="1" allowOverlap="1">
                <wp:simplePos x="0" y="0"/>
                <wp:positionH relativeFrom="page">
                  <wp:posOffset>1146810</wp:posOffset>
                </wp:positionH>
                <wp:positionV relativeFrom="paragraph">
                  <wp:posOffset>25400</wp:posOffset>
                </wp:positionV>
                <wp:extent cx="5263515" cy="0"/>
                <wp:effectExtent l="0" t="0" r="0" b="0"/>
                <wp:wrapTopAndBottom/>
                <wp:docPr id="5" name="Line 4"/>
                <wp:cNvGraphicFramePr/>
                <a:graphic xmlns:a="http://schemas.openxmlformats.org/drawingml/2006/main">
                  <a:graphicData uri="http://schemas.microsoft.com/office/word/2010/wordprocessingShape">
                    <wps:wsp>
                      <wps:cNvCnPr>
                        <a:cxnSpLocks noChangeShapeType="1"/>
                      </wps:cNvCnPr>
                      <wps:spPr bwMode="auto">
                        <a:xfrm>
                          <a:off x="0" y="0"/>
                          <a:ext cx="5263515" cy="0"/>
                        </a:xfrm>
                        <a:prstGeom prst="line">
                          <a:avLst/>
                        </a:prstGeom>
                        <a:noFill/>
                        <a:ln w="7620">
                          <a:solidFill>
                            <a:srgbClr val="000000"/>
                          </a:solidFill>
                          <a:round/>
                        </a:ln>
                      </wps:spPr>
                      <wps:bodyPr/>
                    </wps:wsp>
                  </a:graphicData>
                </a:graphic>
              </wp:anchor>
            </w:drawing>
          </mc:Choice>
          <mc:Fallback>
            <w:pict>
              <v:line id="Line 4" o:spid="_x0000_s1026" o:spt="20" style="position:absolute;left:0pt;margin-left:90.3pt;margin-top:2pt;height:0pt;width:414.45pt;mso-position-horizontal-relative:page;mso-wrap-distance-bottom:0pt;mso-wrap-distance-top:0pt;z-index:-251659264;mso-width-relative:page;mso-height-relative:page;" filled="f" stroked="t" coordsize="21600,21600" o:gfxdata="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zVNsNQAAAAIAQAADwAAAAAAAAABACAAAAAiAAAAZHJzL2Rvd25y&#10;ZXYueG1sUEsBAhQAFAAAAAgAh07iQFBIeQTJAQAAnwMAAA4AAAAAAAAAAQAgAAAAIwEAAGRycy9l&#10;Mm9Eb2MueG1sUEsFBgAAAAAGAAYAWQEAAF4FAAAAAA==&#10;">
                <v:fill on="f" focussize="0,0"/>
                <v:stroke weight="0.6pt" color="#000000" joinstyle="round"/>
                <v:imagedata o:title=""/>
                <o:lock v:ext="edit" aspectratio="f"/>
                <w10:wrap type="topAndBottom"/>
              </v:line>
            </w:pict>
          </mc:Fallback>
        </mc:AlternateContent>
      </w:r>
      <w:r>
        <w:rPr>
          <w:rFonts w:hint="eastAsia" w:ascii="方正仿宋_GB2312" w:hAnsi="方正仿宋_GB2312" w:eastAsia="方正仿宋_GB2312" w:cs="方正仿宋_GB2312"/>
        </w:rPr>
        <w:t>四川西部</w:t>
      </w:r>
      <w:r>
        <w:rPr>
          <w:rFonts w:hint="eastAsia" w:ascii="方正仿宋_GB2312" w:hAnsi="方正仿宋_GB2312" w:eastAsia="方正仿宋_GB2312" w:cs="方正仿宋_GB2312"/>
          <w:spacing w:val="-5"/>
        </w:rPr>
        <w:t>人</w:t>
      </w:r>
      <w:r>
        <w:rPr>
          <w:rFonts w:hint="eastAsia" w:ascii="方正仿宋_GB2312" w:hAnsi="方正仿宋_GB2312" w:eastAsia="方正仿宋_GB2312" w:cs="方正仿宋_GB2312"/>
        </w:rPr>
        <w:t>力资</w:t>
      </w:r>
      <w:r>
        <w:rPr>
          <w:rFonts w:hint="eastAsia" w:ascii="方正仿宋_GB2312" w:hAnsi="方正仿宋_GB2312" w:eastAsia="方正仿宋_GB2312" w:cs="方正仿宋_GB2312"/>
          <w:spacing w:val="-7"/>
        </w:rPr>
        <w:t>源</w:t>
      </w:r>
      <w:r>
        <w:rPr>
          <w:rFonts w:hint="eastAsia" w:ascii="方正仿宋_GB2312" w:hAnsi="方正仿宋_GB2312" w:eastAsia="方正仿宋_GB2312" w:cs="方正仿宋_GB2312"/>
        </w:rPr>
        <w:t>开发中心</w:t>
      </w:r>
      <w:r>
        <w:rPr>
          <w:rFonts w:hint="eastAsia" w:ascii="仿宋" w:eastAsia="仿宋"/>
        </w:rPr>
        <w:t xml:space="preserve"> </w:t>
      </w:r>
      <w:r>
        <w:rPr>
          <w:rFonts w:hint="eastAsia" w:ascii="仿宋" w:eastAsia="仿宋"/>
          <w:lang w:val="en-US"/>
        </w:rPr>
        <w:t xml:space="preserve"> </w:t>
      </w:r>
      <w:r>
        <w:rPr>
          <w:rFonts w:hint="eastAsia" w:ascii="仿宋" w:eastAsia="仿宋"/>
        </w:rPr>
        <w:t xml:space="preserve"> </w:t>
      </w:r>
      <w:r>
        <w:rPr>
          <w:rFonts w:hint="eastAsia" w:ascii="仿宋" w:eastAsia="仿宋"/>
          <w:lang w:val="en-US"/>
        </w:rPr>
        <w:t xml:space="preserve">  </w:t>
      </w:r>
      <w:r>
        <w:rPr>
          <w:rFonts w:ascii="Times New Roman" w:hAnsi="Times New Roman" w:eastAsia="仿宋" w:cs="Times New Roman"/>
        </w:rPr>
        <w:t>2020</w:t>
      </w:r>
      <w:r>
        <w:rPr>
          <w:rFonts w:hint="eastAsia" w:ascii="仿宋" w:eastAsia="仿宋"/>
          <w:spacing w:val="-86"/>
        </w:rPr>
        <w:t xml:space="preserve"> </w:t>
      </w:r>
      <w:r>
        <w:rPr>
          <w:rFonts w:hint="eastAsia" w:ascii="仿宋" w:eastAsia="仿宋"/>
          <w:spacing w:val="21"/>
        </w:rPr>
        <w:t>年</w:t>
      </w:r>
      <w:r>
        <w:rPr>
          <w:rFonts w:ascii="Times New Roman" w:hAnsi="Times New Roman" w:eastAsia="仿宋_GB2312" w:cs="Times New Roman"/>
          <w:lang w:val="en-US"/>
        </w:rPr>
        <w:t>1</w:t>
      </w:r>
      <w:r>
        <w:rPr>
          <w:rFonts w:hint="eastAsia" w:ascii="Times New Roman" w:hAnsi="Times New Roman" w:eastAsia="仿宋_GB2312" w:cs="Times New Roman"/>
          <w:lang w:val="en-US" w:eastAsia="zh-CN"/>
        </w:rPr>
        <w:t>1</w:t>
      </w:r>
      <w:r>
        <w:rPr>
          <w:rFonts w:hint="eastAsia" w:ascii="仿宋" w:eastAsia="仿宋"/>
        </w:rPr>
        <w:t>月</w:t>
      </w:r>
      <w:r>
        <w:rPr>
          <w:rFonts w:hint="eastAsia" w:ascii="Times New Roman" w:hAnsi="Times New Roman" w:eastAsia="仿宋" w:cs="Times New Roman"/>
          <w:lang w:val="en-US" w:eastAsia="zh-CN"/>
        </w:rPr>
        <w:t>17</w:t>
      </w:r>
      <w:r>
        <w:rPr>
          <w:rFonts w:hint="eastAsia" w:ascii="仿宋" w:eastAsia="仿宋"/>
        </w:rPr>
        <w:t>日印发</w:t>
      </w:r>
    </w:p>
    <w:p>
      <w:pPr>
        <w:pStyle w:val="4"/>
        <w:spacing w:line="20" w:lineRule="exact"/>
        <w:rPr>
          <w:rFonts w:ascii="仿宋"/>
          <w:sz w:val="2"/>
        </w:rPr>
      </w:pPr>
      <w:r>
        <w:rPr>
          <w:rFonts w:ascii="仿宋"/>
          <w:sz w:val="2"/>
          <w:lang w:val="en-US" w:bidi="ar-SA"/>
        </w:rPr>
        <mc:AlternateContent>
          <mc:Choice Requires="wpg">
            <w:drawing>
              <wp:inline distT="0" distB="0" distL="0" distR="0">
                <wp:extent cx="5263515" cy="45085"/>
                <wp:effectExtent l="9525" t="0" r="13335" b="0"/>
                <wp:docPr id="3" name="Group 2"/>
                <wp:cNvGraphicFramePr/>
                <a:graphic xmlns:a="http://schemas.openxmlformats.org/drawingml/2006/main">
                  <a:graphicData uri="http://schemas.microsoft.com/office/word/2010/wordprocessingGroup">
                    <wpg:wgp>
                      <wpg:cNvGrpSpPr/>
                      <wpg:grpSpPr>
                        <a:xfrm>
                          <a:off x="0" y="0"/>
                          <a:ext cx="5263515" cy="45085"/>
                          <a:chOff x="0" y="0"/>
                          <a:chExt cx="9530" cy="12"/>
                        </a:xfrm>
                      </wpg:grpSpPr>
                      <wps:wsp>
                        <wps:cNvPr id="4" name="Line 3"/>
                        <wps:cNvCnPr>
                          <a:cxnSpLocks noChangeShapeType="1"/>
                        </wps:cNvCnPr>
                        <wps:spPr bwMode="auto">
                          <a:xfrm>
                            <a:off x="0" y="6"/>
                            <a:ext cx="9530" cy="0"/>
                          </a:xfrm>
                          <a:prstGeom prst="line">
                            <a:avLst/>
                          </a:prstGeom>
                          <a:noFill/>
                          <a:ln w="7620">
                            <a:solidFill>
                              <a:srgbClr val="000000"/>
                            </a:solidFill>
                            <a:round/>
                          </a:ln>
                        </wps:spPr>
                        <wps:bodyPr/>
                      </wps:wsp>
                    </wpg:wgp>
                  </a:graphicData>
                </a:graphic>
              </wp:inline>
            </w:drawing>
          </mc:Choice>
          <mc:Fallback>
            <w:pict>
              <v:group id="Group 2" o:spid="_x0000_s1026" o:spt="203" style="height:3.55pt;width:414.45pt;" coordsize="9530,12" o:gfxdata="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FbFA3VAAAAAwEAAA8AAAAAAAAAAQAgAAAAIgAAAGRycy9kb3ducmV2LnhtbFBLAQIUABQAAAAI&#10;AIdO4kD/A6vXKQIAAMIEAAAOAAAAAAAAAAEAIAAAACQBAABkcnMvZTJvRG9jLnhtbFBLBQYAAAAA&#10;BgAGAFkBAAC/BQAAAAA=&#10;">
                <o:lock v:ext="edit" aspectratio="f"/>
                <v:line id="Line 3" o:spid="_x0000_s1026" o:spt="20" style="position:absolute;left:0;top:6;height:0;width:9530;" filled="f" stroked="t" coordsize="21600,21600" o:gfxdata="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vPB68AAAA&#10;2gAAAA8AAAAAAAAAAQAgAAAAIgAAAGRycy9kb3ducmV2LnhtbFBLAQIUABQAAAAIAIdO4kAzLwWe&#10;OwAAADkAAAAQAAAAAAAAAAEAIAAAAAsBAABkcnMvc2hhcGV4bWwueG1sUEsFBgAAAAAGAAYAWwEA&#10;ALUDAAAAAA==&#10;">
                  <v:fill on="f" focussize="0,0"/>
                  <v:stroke weight="0.6pt" color="#000000" joinstyle="round"/>
                  <v:imagedata o:title=""/>
                  <o:lock v:ext="edit" aspectratio="f"/>
                </v:line>
                <w10:wrap type="none"/>
                <w10:anchorlock/>
              </v:group>
            </w:pict>
          </mc:Fallback>
        </mc:AlternateContent>
      </w:r>
    </w:p>
    <w:sectPr>
      <w:headerReference r:id="rId3" w:type="default"/>
      <w:footerReference r:id="rId4" w:type="default"/>
      <w:pgSz w:w="11910" w:h="16840"/>
      <w:pgMar w:top="1418" w:right="1701" w:bottom="1418" w:left="181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C2DA2D53-20B7-49CF-B960-28C1A6DE6E96}"/>
  </w:font>
  <w:font w:name="等线">
    <w:panose1 w:val="02010600030101010101"/>
    <w:charset w:val="86"/>
    <w:family w:val="auto"/>
    <w:pitch w:val="default"/>
    <w:sig w:usb0="A00002BF" w:usb1="38CF7CFA" w:usb2="00000016" w:usb3="00000000" w:csb0="0004000F" w:csb1="00000000"/>
    <w:embedRegular r:id="rId2" w:fontKey="{29F35439-EA15-4FFC-B2D9-96E753EA979A}"/>
  </w:font>
  <w:font w:name="仿宋">
    <w:panose1 w:val="02010609060101010101"/>
    <w:charset w:val="86"/>
    <w:family w:val="modern"/>
    <w:pitch w:val="default"/>
    <w:sig w:usb0="800002BF" w:usb1="38CF7CFA" w:usb2="00000016" w:usb3="00000000" w:csb0="00040001" w:csb1="00000000"/>
    <w:embedRegular r:id="rId3" w:fontKey="{AD0A7D2C-FFFF-436E-9E94-370741166AFE}"/>
  </w:font>
  <w:font w:name="方正小标宋简体">
    <w:panose1 w:val="02000000000000000000"/>
    <w:charset w:val="86"/>
    <w:family w:val="auto"/>
    <w:pitch w:val="default"/>
    <w:sig w:usb0="00000001" w:usb1="08000000" w:usb2="00000000" w:usb3="00000000" w:csb0="00040000" w:csb1="00000000"/>
    <w:embedRegular r:id="rId4" w:fontKey="{2A6C7021-FBE6-4D7A-A6AF-27AA6BDAF0D6}"/>
  </w:font>
  <w:font w:name="方正仿宋_GB2312">
    <w:panose1 w:val="02000000000000000000"/>
    <w:charset w:val="86"/>
    <w:family w:val="auto"/>
    <w:pitch w:val="default"/>
    <w:sig w:usb0="A00002BF" w:usb1="184F6CFA" w:usb2="00000012" w:usb3="00000000" w:csb0="00040001" w:csb1="00000000"/>
    <w:embedRegular r:id="rId5" w:fontKey="{79C0C657-306C-46C4-BFF9-F858FED0889E}"/>
  </w:font>
  <w:font w:name="微软雅黑">
    <w:panose1 w:val="020B0503020204020204"/>
    <w:charset w:val="86"/>
    <w:family w:val="swiss"/>
    <w:pitch w:val="default"/>
    <w:sig w:usb0="80000287" w:usb1="2ACF3C50" w:usb2="00000016" w:usb3="00000000" w:csb0="0004001F" w:csb1="00000000"/>
    <w:embedRegular r:id="rId6" w:fontKey="{38865C93-AF60-42A2-811E-339DF0B7897F}"/>
  </w:font>
  <w:font w:name="仿宋_GB2312">
    <w:altName w:val="仿宋"/>
    <w:panose1 w:val="02010609030101010101"/>
    <w:charset w:val="86"/>
    <w:family w:val="modern"/>
    <w:pitch w:val="default"/>
    <w:sig w:usb0="00000000" w:usb1="00000000" w:usb2="00000010" w:usb3="00000000" w:csb0="00040000" w:csb1="00000000"/>
    <w:embedRegular r:id="rId7" w:fontKey="{3E48F4D5-52B6-461A-BC0B-4C18DA4B3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Align="top"/>
    </w:pPr>
    <w:r>
      <w:fldChar w:fldCharType="begin"/>
    </w:r>
    <w:r>
      <w:instrText xml:space="preserve"> PAGE  </w:instrText>
    </w:r>
    <w:r>
      <w:fldChar w:fldCharType="separate"/>
    </w:r>
    <w:r>
      <w:t>1</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sz w:val="24"/>
        <w:szCs w:val="24"/>
      </w:rPr>
    </w:pP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13335"/>
    <w:multiLevelType w:val="multilevel"/>
    <w:tmpl w:val="5A013335"/>
    <w:lvl w:ilvl="0" w:tentative="0">
      <w:start w:val="1"/>
      <w:numFmt w:val="bullet"/>
      <w:lvlText w:val=""/>
      <w:lvlJc w:val="left"/>
      <w:pPr>
        <w:ind w:left="780" w:hanging="420"/>
      </w:pPr>
      <w:rPr>
        <w:rFonts w:hint="default" w:ascii="Wingdings" w:hAnsi="Wingdings"/>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7FE24692"/>
    <w:multiLevelType w:val="multilevel"/>
    <w:tmpl w:val="7FE2469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032"/>
    <w:rsid w:val="0000224E"/>
    <w:rsid w:val="000243C5"/>
    <w:rsid w:val="00027B0D"/>
    <w:rsid w:val="000314F0"/>
    <w:rsid w:val="00065901"/>
    <w:rsid w:val="00080F3B"/>
    <w:rsid w:val="0008175A"/>
    <w:rsid w:val="00092ACD"/>
    <w:rsid w:val="000B7AE5"/>
    <w:rsid w:val="000D022D"/>
    <w:rsid w:val="000D723C"/>
    <w:rsid w:val="00115396"/>
    <w:rsid w:val="0012031E"/>
    <w:rsid w:val="00150713"/>
    <w:rsid w:val="001A70AA"/>
    <w:rsid w:val="001C1534"/>
    <w:rsid w:val="001E0017"/>
    <w:rsid w:val="00292074"/>
    <w:rsid w:val="002942E8"/>
    <w:rsid w:val="002A0A39"/>
    <w:rsid w:val="002A2E4B"/>
    <w:rsid w:val="002A6B1F"/>
    <w:rsid w:val="00304F7E"/>
    <w:rsid w:val="00304FD4"/>
    <w:rsid w:val="0034667C"/>
    <w:rsid w:val="00385D9F"/>
    <w:rsid w:val="003D21CA"/>
    <w:rsid w:val="00402BA9"/>
    <w:rsid w:val="00406E51"/>
    <w:rsid w:val="00410592"/>
    <w:rsid w:val="00463CF1"/>
    <w:rsid w:val="004A758C"/>
    <w:rsid w:val="004D170C"/>
    <w:rsid w:val="0050461F"/>
    <w:rsid w:val="005643FC"/>
    <w:rsid w:val="005B2117"/>
    <w:rsid w:val="005D5DCB"/>
    <w:rsid w:val="006245A5"/>
    <w:rsid w:val="006405D8"/>
    <w:rsid w:val="00651AD9"/>
    <w:rsid w:val="006D1BC0"/>
    <w:rsid w:val="00704649"/>
    <w:rsid w:val="00721570"/>
    <w:rsid w:val="00721A1C"/>
    <w:rsid w:val="00770310"/>
    <w:rsid w:val="00795387"/>
    <w:rsid w:val="007A071C"/>
    <w:rsid w:val="007A098A"/>
    <w:rsid w:val="007A40A2"/>
    <w:rsid w:val="007C6B97"/>
    <w:rsid w:val="007D6FAE"/>
    <w:rsid w:val="008068D4"/>
    <w:rsid w:val="00816CD1"/>
    <w:rsid w:val="00846B5D"/>
    <w:rsid w:val="0086573E"/>
    <w:rsid w:val="00867EFB"/>
    <w:rsid w:val="0090219F"/>
    <w:rsid w:val="0091236F"/>
    <w:rsid w:val="00934B8F"/>
    <w:rsid w:val="00941DB4"/>
    <w:rsid w:val="00960EA5"/>
    <w:rsid w:val="00972BD5"/>
    <w:rsid w:val="009914D7"/>
    <w:rsid w:val="009A2A69"/>
    <w:rsid w:val="009B38A1"/>
    <w:rsid w:val="009C78F0"/>
    <w:rsid w:val="009E7959"/>
    <w:rsid w:val="00A354EA"/>
    <w:rsid w:val="00A60709"/>
    <w:rsid w:val="00A74BC2"/>
    <w:rsid w:val="00A917D4"/>
    <w:rsid w:val="00AB13E6"/>
    <w:rsid w:val="00AC48AC"/>
    <w:rsid w:val="00AC5881"/>
    <w:rsid w:val="00AF1FBE"/>
    <w:rsid w:val="00B2498D"/>
    <w:rsid w:val="00B34D30"/>
    <w:rsid w:val="00B43677"/>
    <w:rsid w:val="00B82388"/>
    <w:rsid w:val="00BA1133"/>
    <w:rsid w:val="00BA1625"/>
    <w:rsid w:val="00BD6032"/>
    <w:rsid w:val="00BE467B"/>
    <w:rsid w:val="00C302F6"/>
    <w:rsid w:val="00C542DC"/>
    <w:rsid w:val="00C74581"/>
    <w:rsid w:val="00C765A0"/>
    <w:rsid w:val="00D65938"/>
    <w:rsid w:val="00D665B6"/>
    <w:rsid w:val="00D73091"/>
    <w:rsid w:val="00DA7BF0"/>
    <w:rsid w:val="00DD2535"/>
    <w:rsid w:val="00E31D85"/>
    <w:rsid w:val="00E4606C"/>
    <w:rsid w:val="00E822FD"/>
    <w:rsid w:val="00EA15BE"/>
    <w:rsid w:val="00ED3DEB"/>
    <w:rsid w:val="00F4372B"/>
    <w:rsid w:val="00FD3AFA"/>
    <w:rsid w:val="00FD4554"/>
    <w:rsid w:val="00FE5B2B"/>
    <w:rsid w:val="00FF4355"/>
    <w:rsid w:val="03CC3C1F"/>
    <w:rsid w:val="063F2A96"/>
    <w:rsid w:val="077D1895"/>
    <w:rsid w:val="08A257C0"/>
    <w:rsid w:val="09C615A1"/>
    <w:rsid w:val="0FEE5B12"/>
    <w:rsid w:val="10301FA1"/>
    <w:rsid w:val="15163A3F"/>
    <w:rsid w:val="15473799"/>
    <w:rsid w:val="17312AAF"/>
    <w:rsid w:val="18F47382"/>
    <w:rsid w:val="197066B2"/>
    <w:rsid w:val="1ED85532"/>
    <w:rsid w:val="1F6D7BD5"/>
    <w:rsid w:val="206A5A2A"/>
    <w:rsid w:val="21404BF3"/>
    <w:rsid w:val="223B0A6E"/>
    <w:rsid w:val="234201C6"/>
    <w:rsid w:val="2A7A0DDE"/>
    <w:rsid w:val="2B020E44"/>
    <w:rsid w:val="2C6567ED"/>
    <w:rsid w:val="2CB36911"/>
    <w:rsid w:val="2EDF7C31"/>
    <w:rsid w:val="31A80B53"/>
    <w:rsid w:val="38570AE5"/>
    <w:rsid w:val="39511E8F"/>
    <w:rsid w:val="3A141E64"/>
    <w:rsid w:val="3D5F47D6"/>
    <w:rsid w:val="3DC8533F"/>
    <w:rsid w:val="3ED86E63"/>
    <w:rsid w:val="42A316B6"/>
    <w:rsid w:val="43574286"/>
    <w:rsid w:val="43A83C86"/>
    <w:rsid w:val="43B2223D"/>
    <w:rsid w:val="4698073A"/>
    <w:rsid w:val="47873792"/>
    <w:rsid w:val="4D4B3623"/>
    <w:rsid w:val="4DDC0FCC"/>
    <w:rsid w:val="51A273F3"/>
    <w:rsid w:val="52FE4724"/>
    <w:rsid w:val="53AD6272"/>
    <w:rsid w:val="59E13002"/>
    <w:rsid w:val="5BEA2AA7"/>
    <w:rsid w:val="5C813099"/>
    <w:rsid w:val="61486685"/>
    <w:rsid w:val="636A50F1"/>
    <w:rsid w:val="65D10A88"/>
    <w:rsid w:val="66A92519"/>
    <w:rsid w:val="66D50981"/>
    <w:rsid w:val="6774525C"/>
    <w:rsid w:val="71CD3D5F"/>
    <w:rsid w:val="71E06538"/>
    <w:rsid w:val="72072140"/>
    <w:rsid w:val="75BA299C"/>
    <w:rsid w:val="777775AF"/>
    <w:rsid w:val="79A253E3"/>
    <w:rsid w:val="7BE21256"/>
    <w:rsid w:val="7E7D5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3"/>
    <w:basedOn w:val="1"/>
    <w:next w:val="1"/>
    <w:unhideWhenUsed/>
    <w:qFormat/>
    <w:uiPriority w:val="9"/>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32"/>
      <w:szCs w:val="32"/>
    </w:rPr>
  </w:style>
  <w:style w:type="paragraph" w:styleId="5">
    <w:name w:val="Date"/>
    <w:basedOn w:val="1"/>
    <w:next w:val="1"/>
    <w:link w:val="21"/>
    <w:unhideWhenUsed/>
    <w:qFormat/>
    <w:uiPriority w:val="99"/>
    <w:pPr>
      <w:ind w:left="100" w:leftChars="2500"/>
    </w:pPr>
  </w:style>
  <w:style w:type="paragraph" w:styleId="6">
    <w:name w:val="Body Text Indent 2"/>
    <w:basedOn w:val="1"/>
    <w:link w:val="20"/>
    <w:semiHidden/>
    <w:unhideWhenUsed/>
    <w:qFormat/>
    <w:uiPriority w:val="99"/>
    <w:pPr>
      <w:spacing w:after="120" w:line="480" w:lineRule="auto"/>
      <w:ind w:left="420" w:leftChars="200"/>
    </w:pPr>
  </w:style>
  <w:style w:type="paragraph" w:styleId="7">
    <w:name w:val="Balloon Text"/>
    <w:basedOn w:val="1"/>
    <w:link w:val="17"/>
    <w:semiHidden/>
    <w:unhideWhenUsed/>
    <w:qFormat/>
    <w:uiPriority w:val="99"/>
    <w:rPr>
      <w:sz w:val="18"/>
      <w:szCs w:val="18"/>
    </w:rPr>
  </w:style>
  <w:style w:type="paragraph" w:styleId="8">
    <w:name w:val="footer"/>
    <w:basedOn w:val="1"/>
    <w:link w:val="19"/>
    <w:unhideWhenUsed/>
    <w:qFormat/>
    <w:uiPriority w:val="0"/>
    <w:pPr>
      <w:tabs>
        <w:tab w:val="center" w:pos="4153"/>
        <w:tab w:val="right" w:pos="8306"/>
      </w:tabs>
      <w:snapToGrid w:val="0"/>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20"/>
    <w:rPr>
      <w:i/>
      <w:iCs/>
    </w:rPr>
  </w:style>
  <w:style w:type="table" w:customStyle="1" w:styleId="14">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5">
    <w:name w:val="列出段落1"/>
    <w:basedOn w:val="1"/>
    <w:qFormat/>
    <w:uiPriority w:val="1"/>
  </w:style>
  <w:style w:type="paragraph" w:customStyle="1" w:styleId="16">
    <w:name w:val="Table Paragraph"/>
    <w:basedOn w:val="1"/>
    <w:qFormat/>
    <w:uiPriority w:val="1"/>
  </w:style>
  <w:style w:type="character" w:customStyle="1" w:styleId="17">
    <w:name w:val="批注框文本 字符"/>
    <w:basedOn w:val="12"/>
    <w:link w:val="7"/>
    <w:semiHidden/>
    <w:qFormat/>
    <w:uiPriority w:val="99"/>
    <w:rPr>
      <w:rFonts w:ascii="宋体" w:hAnsi="宋体" w:eastAsia="宋体" w:cs="宋体"/>
      <w:sz w:val="18"/>
      <w:szCs w:val="18"/>
      <w:lang w:val="zh-CN" w:eastAsia="zh-CN" w:bidi="zh-CN"/>
    </w:rPr>
  </w:style>
  <w:style w:type="character" w:customStyle="1" w:styleId="18">
    <w:name w:val="页眉 字符"/>
    <w:basedOn w:val="12"/>
    <w:link w:val="9"/>
    <w:semiHidden/>
    <w:qFormat/>
    <w:uiPriority w:val="99"/>
    <w:rPr>
      <w:rFonts w:ascii="宋体" w:hAnsi="宋体" w:eastAsia="宋体" w:cs="宋体"/>
      <w:sz w:val="18"/>
      <w:szCs w:val="18"/>
      <w:lang w:val="zh-CN" w:eastAsia="zh-CN" w:bidi="zh-CN"/>
    </w:rPr>
  </w:style>
  <w:style w:type="character" w:customStyle="1" w:styleId="19">
    <w:name w:val="页脚 字符"/>
    <w:basedOn w:val="12"/>
    <w:link w:val="8"/>
    <w:semiHidden/>
    <w:qFormat/>
    <w:uiPriority w:val="99"/>
    <w:rPr>
      <w:rFonts w:ascii="宋体" w:hAnsi="宋体" w:eastAsia="宋体" w:cs="宋体"/>
      <w:sz w:val="18"/>
      <w:szCs w:val="18"/>
      <w:lang w:val="zh-CN" w:eastAsia="zh-CN" w:bidi="zh-CN"/>
    </w:rPr>
  </w:style>
  <w:style w:type="character" w:customStyle="1" w:styleId="20">
    <w:name w:val="正文文本缩进 2 字符"/>
    <w:basedOn w:val="12"/>
    <w:link w:val="6"/>
    <w:semiHidden/>
    <w:qFormat/>
    <w:uiPriority w:val="99"/>
    <w:rPr>
      <w:rFonts w:ascii="宋体" w:hAnsi="宋体" w:eastAsia="宋体" w:cs="宋体"/>
      <w:lang w:val="zh-CN" w:eastAsia="zh-CN" w:bidi="zh-CN"/>
    </w:rPr>
  </w:style>
  <w:style w:type="character" w:customStyle="1" w:styleId="21">
    <w:name w:val="日期 字符"/>
    <w:basedOn w:val="12"/>
    <w:link w:val="5"/>
    <w:semiHidden/>
    <w:qFormat/>
    <w:uiPriority w:val="99"/>
    <w:rPr>
      <w:rFonts w:ascii="宋体" w:hAnsi="宋体" w:cs="宋体"/>
      <w:sz w:val="22"/>
      <w:szCs w:val="22"/>
      <w:lang w:val="zh-CN" w:bidi="zh-CN"/>
    </w:rPr>
  </w:style>
  <w:style w:type="table" w:customStyle="1" w:styleId="22">
    <w:name w:val="网格型1"/>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346</Words>
  <Characters>1978</Characters>
  <Lines>16</Lines>
  <Paragraphs>4</Paragraphs>
  <TotalTime>32</TotalTime>
  <ScaleCrop>false</ScaleCrop>
  <LinksUpToDate>false</LinksUpToDate>
  <CharactersWithSpaces>2320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2020-04-02T14:23:00Z</dcterms:created>
  <dc:creator>ZY</dc:creator>
  <cp:lastModifiedBy>嘛咪嘛咪哄</cp:lastModifiedBy>
  <dcterms:modified xsi:type="dcterms:W3CDTF">2020-11-18T05:37:10Z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WPS 文字</vt:lpwstr>
  </property>
  <property fmtid="{D5CDD505-2E9C-101B-9397-08002B2CF9AE}" pid="4" name="LastSaved">
    <vt:filetime>2020-04-02T00:00:00Z</vt:filetime>
  </property>
  <property fmtid="{D5CDD505-2E9C-101B-9397-08002B2CF9AE}" pid="5" name="KSOProductBuildVer">
    <vt:lpwstr>2052-11.1.0.10132</vt:lpwstr>
  </property>
  <property fmtid="{D5CDD505-2E9C-101B-9397-08002B2CF9AE}" pid="6" name="_MarkAsFinal">
    <vt:bool>true</vt:bool>
  </property>
</Properties>
</file>